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41F14" w14:textId="77777777" w:rsidR="00B54FBD" w:rsidRPr="00B54FBD" w:rsidRDefault="00B54FBD" w:rsidP="00B54FBD">
      <w:pPr>
        <w:rPr>
          <w:sz w:val="24"/>
          <w:szCs w:val="24"/>
        </w:rPr>
      </w:pPr>
      <w:r w:rsidRPr="00B54FBD">
        <w:rPr>
          <w:sz w:val="24"/>
          <w:szCs w:val="24"/>
        </w:rPr>
        <w:t>Anlage 1</w:t>
      </w:r>
    </w:p>
    <w:p w14:paraId="40A90C5F" w14:textId="77777777" w:rsidR="00B54FBD" w:rsidRPr="00B54FBD" w:rsidRDefault="00B54FBD" w:rsidP="00B54FBD">
      <w:pPr>
        <w:rPr>
          <w:rFonts w:cstheme="minorHAnsi"/>
          <w:sz w:val="32"/>
          <w:szCs w:val="32"/>
        </w:rPr>
      </w:pPr>
    </w:p>
    <w:p w14:paraId="304C64A4" w14:textId="77777777" w:rsidR="00B54FBD" w:rsidRDefault="00B54FBD" w:rsidP="00B54FBD">
      <w:pPr>
        <w:rPr>
          <w:rFonts w:ascii="Arial" w:eastAsia="Arial" w:hAnsi="Arial" w:cs="Arial"/>
          <w:b/>
          <w:bCs/>
          <w:sz w:val="28"/>
          <w:szCs w:val="28"/>
        </w:rPr>
      </w:pPr>
      <w:r w:rsidRPr="00B54FBD">
        <w:rPr>
          <w:rFonts w:eastAsia="Arial" w:cstheme="minorHAnsi"/>
          <w:b/>
          <w:bCs/>
          <w:sz w:val="32"/>
          <w:szCs w:val="32"/>
        </w:rPr>
        <w:t>Die deutschen Reparationsleistungen nach 1945</w:t>
      </w:r>
    </w:p>
    <w:p w14:paraId="7DBDB008"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Im Potsdamer Abkommen vom 2. April 1945 (Abschnitt IV)  - Reparationen - würde erklärt, dass Deutschland “im größtmöglichen Ausmaß für die Verluste und die Leiden, die es den Vereinten Nationen verursacht hat und wofür das deutsche Volk der Verantwortung nicht entgehen kann” Kriegsentschädigungsleistungen (Reparationen) aufzubringen hat.</w:t>
      </w:r>
    </w:p>
    <w:p w14:paraId="7117158B"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Diese Reklamationen sollten durch die Einbeziehung der Devisenbestände, die Beschlagnahme des deutschen Auslandsvermögens, Warenzeichen und Patente sowie durch Demontagen und Sachlieferungen aufgebracht werden. Dabei war vereinbart, dass die einzelnen Besatzungsmächte ihre Reparationsansprüche aus den von ihnen besetzten Zonen befriedigen sollten.</w:t>
      </w:r>
    </w:p>
    <w:p w14:paraId="1DA27267"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Mit Beginn des Kalten Krieges (1946/1947) schränkten die westlichen Alliierten in ihren Zonen die Demontagen ein und verschoben ihre Reparationsforderungen bis zum Abschluss eines Friedensvertrages.</w:t>
      </w:r>
    </w:p>
    <w:p w14:paraId="7C0BAB76" w14:textId="6C27C069"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 xml:space="preserve">Da der Zwei-Plus-Vier-Vertrag 1990 nicht als Friedensvertrag, sondern “anstelle eines Friedensvertrages” abgeschlossen wurde, ist die Zahlung der Reparationsleistungen durch die Westzonen/Bundesrepublik Deutschland noch ungelöst und offen. </w:t>
      </w:r>
    </w:p>
    <w:p w14:paraId="66BDCA19"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 xml:space="preserve">Von den Westzonen wurden demzufolge bis 1946/1947 nur 2,1 Milliarden DM (zu Preisen von 1953) an Reparationsleistungen erbracht. </w:t>
      </w:r>
    </w:p>
    <w:p w14:paraId="19FF0138" w14:textId="4C0D7E85"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Anders dagegen verlief die Ableistung der Kriegsentschädigungen in der Sowjetisch- besetzten Zone (SBZ)/Deutschen Demokratischen Republik (DDR).</w:t>
      </w:r>
    </w:p>
    <w:p w14:paraId="66DE768A"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Am 30./31. Oktober 1945 wurde durch die sowjetische Militäradministration (SMAD) in den Befehlen 124 und 126 die Beschlagnahme und provisorische Übernahme von Monopol- und Rüstungsbetrieben und die entschädigungslose Beschlagnahme des Eigentums der NSDAP und angeschlossenen Organisationen verfügt.</w:t>
      </w:r>
    </w:p>
    <w:p w14:paraId="7F768AFC"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Diese zwangsverwalteten Betriebe und das beschlagnahmte Eigentum der NSDAP wurden dann aber am 26. Mai 1946 durch den Befehl Nummer 154 der SMAD den deutschen antifaschistisch-demokratische Verwaltungsorganen in Besitz und zur Nutznießung übergeben.</w:t>
      </w:r>
    </w:p>
    <w:p w14:paraId="01BED33F"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lastRenderedPageBreak/>
        <w:t xml:space="preserve">Die Ableistung der Reparationen bis 1948 sollte überwiegend durch Demontagen der wichtigsten und bestausgerüsteten Industriebetriebe erfolgen. Vorgesehen waren über 200 solcher Betriebe. </w:t>
      </w:r>
    </w:p>
    <w:p w14:paraId="10BAC85E"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 xml:space="preserve">Durch einen Antrag der SED konnte die Demontage dieser Betriebe verhindert werden. Mit dem Befehl Nummer 167 wurden 200 dieser Betriebe in das Eigentum der Sowjetunion als sowjetische Aktiengesellschaften (SAG-Betriebe) überführt. Von diesen Betrieben erfolgte die Ableistung der Reparationen in Form von Sachleistungen. </w:t>
      </w:r>
    </w:p>
    <w:p w14:paraId="68A585A1"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Gleichlaufend erfolgte in anderen Betrieben die Demontage einzelner Maschinen oder ganzer Maschinengruppen. Veröffentlichungen zufolge sollen davon über    2.000 Betriebe betroffen gewesen sein.</w:t>
      </w:r>
    </w:p>
    <w:p w14:paraId="31046D45"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Reparationsleistungen musste auch die Deutsche Reichsbahn erbringen. So wurden bis März 1947</w:t>
      </w:r>
    </w:p>
    <w:p w14:paraId="11E0CC9B" w14:textId="77777777" w:rsidR="00B54FBD" w:rsidRPr="00B54FBD" w:rsidRDefault="00B54FBD" w:rsidP="00B54FBD">
      <w:pPr>
        <w:pStyle w:val="Listenabsatz"/>
        <w:numPr>
          <w:ilvl w:val="0"/>
          <w:numId w:val="1"/>
        </w:numPr>
        <w:spacing w:line="240" w:lineRule="auto"/>
        <w:rPr>
          <w:rFonts w:eastAsia="Arial" w:cstheme="minorHAnsi"/>
          <w:sz w:val="28"/>
          <w:szCs w:val="28"/>
        </w:rPr>
      </w:pPr>
      <w:r w:rsidRPr="00B54FBD">
        <w:rPr>
          <w:rFonts w:eastAsia="Arial" w:cstheme="minorHAnsi"/>
          <w:sz w:val="28"/>
          <w:szCs w:val="28"/>
        </w:rPr>
        <w:t>11.800 km Eisenbahngleise, das entsprach 48 Prozent des Gleisnetzes (Stand 1938) und</w:t>
      </w:r>
    </w:p>
    <w:p w14:paraId="7816164B" w14:textId="77777777" w:rsidR="00B54FBD" w:rsidRPr="00B54FBD" w:rsidRDefault="00B54FBD" w:rsidP="00B54FBD">
      <w:pPr>
        <w:pStyle w:val="Listenabsatz"/>
        <w:numPr>
          <w:ilvl w:val="0"/>
          <w:numId w:val="1"/>
        </w:numPr>
        <w:spacing w:line="240" w:lineRule="auto"/>
        <w:rPr>
          <w:rFonts w:eastAsia="Arial" w:cstheme="minorHAnsi"/>
          <w:sz w:val="28"/>
          <w:szCs w:val="28"/>
        </w:rPr>
      </w:pPr>
      <w:r w:rsidRPr="00B54FBD">
        <w:rPr>
          <w:rFonts w:eastAsia="Arial" w:cstheme="minorHAnsi"/>
          <w:sz w:val="28"/>
          <w:szCs w:val="28"/>
        </w:rPr>
        <w:t>die in den Reichsbahndirektionsbezirken Halle, Erfurt, Berlin und Magdeburg elektrifizierten Strecken (Leitungen, Masten, E-Loks und zwei Kraftwerke)</w:t>
      </w:r>
    </w:p>
    <w:p w14:paraId="02624019"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demontiert.</w:t>
      </w:r>
    </w:p>
    <w:p w14:paraId="0E41B482"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Danach war in der sowjetisch besetzten Zone für mehrere Jahre nur noch ein eingleisiger Zugverkehr möglich.</w:t>
      </w:r>
    </w:p>
    <w:p w14:paraId="09B6A644"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Nach jüngsten Veröffentlichungen von Historikern soll der prozentuale Anteil der Demontagen bei allen 1945 erfassten Industrieanlagen in Westdeutschland bei etwa 3,5 Prozent und in der SBZ/DDR bei etwa 40 Prozent gelegen haben.</w:t>
      </w:r>
    </w:p>
    <w:p w14:paraId="3F152A50"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 xml:space="preserve">Der mit der Demontage in der SBZ/DDR verbundene volkswirtschaftliche Kapazitätsverlust soll Veröffentlichungen zufolge insgesamt 30 Prozent der 1944 auf diesem Gebiet gelegenen Fonds entsprochen haben. </w:t>
      </w:r>
    </w:p>
    <w:p w14:paraId="2A050DF7"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Die Reparationszahlungen der DDR endeten 1953.</w:t>
      </w:r>
    </w:p>
    <w:p w14:paraId="1EF57A79"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Berechnungen von Wissenschaftlern der Humboldt-Universität Berlin von 1993 zufolge und auf der Grundlage erstmals zugänglicher Archivmaterialien, vor allem in Moskau, erbrachte der Osten Deutschlands Reparationsleistungen in Höhe von      99,1 Milliarden DM (zu Preisen von 1953).</w:t>
      </w:r>
    </w:p>
    <w:p w14:paraId="4A684135" w14:textId="77777777" w:rsidR="00B54FBD" w:rsidRPr="00B54FBD" w:rsidRDefault="00B54FBD" w:rsidP="00B54FBD">
      <w:pPr>
        <w:spacing w:line="240" w:lineRule="auto"/>
        <w:rPr>
          <w:rFonts w:eastAsia="Arial" w:cstheme="minorHAnsi"/>
          <w:sz w:val="28"/>
          <w:szCs w:val="28"/>
        </w:rPr>
      </w:pPr>
      <w:r w:rsidRPr="00B54FBD">
        <w:rPr>
          <w:rFonts w:eastAsia="Arial" w:cstheme="minorHAnsi"/>
          <w:sz w:val="28"/>
          <w:szCs w:val="28"/>
        </w:rPr>
        <w:t>Damit trug die SBZ/DDR 97 bis 98 Prozent der Reparationslast Deutschlands nach 1945.</w:t>
      </w:r>
    </w:p>
    <w:p w14:paraId="1C9A7283" w14:textId="157CDBA0" w:rsidR="00B54FBD" w:rsidRDefault="00B54FBD" w:rsidP="00B54FBD">
      <w:pPr>
        <w:rPr>
          <w:rFonts w:ascii="Arial" w:eastAsia="Arial" w:hAnsi="Arial" w:cs="Arial"/>
          <w:sz w:val="24"/>
          <w:szCs w:val="24"/>
        </w:rPr>
      </w:pPr>
      <w:r w:rsidRPr="00B54FBD">
        <w:rPr>
          <w:rFonts w:ascii="Arial" w:eastAsia="Arial" w:hAnsi="Arial" w:cs="Arial"/>
          <w:noProof/>
          <w:sz w:val="24"/>
          <w:szCs w:val="24"/>
        </w:rPr>
        <w:lastRenderedPageBreak/>
        <w:drawing>
          <wp:inline distT="0" distB="0" distL="0" distR="0" wp14:anchorId="39A0A9B8" wp14:editId="1B5C36BB">
            <wp:extent cx="5760720" cy="81362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22F14EFD" w14:textId="3BAC6DF7" w:rsidR="0042624A" w:rsidRDefault="0042624A"/>
    <w:p w14:paraId="610361E3" w14:textId="59CF3467" w:rsidR="00B54FBD" w:rsidRDefault="00B54FBD"/>
    <w:p w14:paraId="7D1A45AE" w14:textId="73F0247C" w:rsidR="00B54FBD" w:rsidRDefault="00B54FBD"/>
    <w:p w14:paraId="27D72A52" w14:textId="77777777" w:rsidR="00BF0E9E" w:rsidRPr="00BF0E9E" w:rsidRDefault="00BF0E9E" w:rsidP="00BF0E9E">
      <w:pPr>
        <w:spacing w:line="240" w:lineRule="auto"/>
        <w:rPr>
          <w:rFonts w:ascii="Calibri" w:eastAsia="DengXian" w:hAnsi="Calibri" w:cs="Calibri"/>
          <w:sz w:val="24"/>
          <w:szCs w:val="24"/>
        </w:rPr>
      </w:pPr>
      <w:r w:rsidRPr="00BF0E9E">
        <w:rPr>
          <w:rFonts w:ascii="Calibri" w:eastAsia="DengXian" w:hAnsi="Calibri" w:cs="Calibri"/>
          <w:sz w:val="24"/>
          <w:szCs w:val="24"/>
        </w:rPr>
        <w:t>Anlage 2a</w:t>
      </w:r>
    </w:p>
    <w:p w14:paraId="047F5FDD" w14:textId="77777777" w:rsidR="00BF0E9E" w:rsidRPr="00BF0E9E" w:rsidRDefault="00BF0E9E" w:rsidP="00BF0E9E">
      <w:pPr>
        <w:spacing w:line="240" w:lineRule="auto"/>
        <w:rPr>
          <w:rFonts w:ascii="Calibri" w:eastAsia="DengXian" w:hAnsi="Calibri" w:cs="Calibri"/>
          <w:b/>
          <w:bCs/>
          <w:sz w:val="28"/>
          <w:szCs w:val="28"/>
        </w:rPr>
      </w:pPr>
      <w:r w:rsidRPr="00BF0E9E">
        <w:rPr>
          <w:rFonts w:ascii="Calibri" w:eastAsia="DengXian" w:hAnsi="Calibri" w:cs="Calibri"/>
          <w:b/>
          <w:bCs/>
          <w:sz w:val="28"/>
          <w:szCs w:val="28"/>
        </w:rPr>
        <w:t>Unruhen und Streiks gegen die existenzielle Notlage und für Sozialisierung der Schlüsselindustrien in den Westzonen 1946 - 1948</w:t>
      </w:r>
    </w:p>
    <w:p w14:paraId="258D4D1F" w14:textId="77777777" w:rsidR="00BF0E9E" w:rsidRPr="00BF0E9E" w:rsidRDefault="00BF0E9E" w:rsidP="00BF0E9E">
      <w:pPr>
        <w:spacing w:line="240" w:lineRule="auto"/>
        <w:rPr>
          <w:rFonts w:ascii="Calibri" w:eastAsia="DengXian" w:hAnsi="Calibri" w:cs="Calibri"/>
          <w:b/>
          <w:bCs/>
          <w:sz w:val="28"/>
          <w:szCs w:val="28"/>
        </w:rPr>
      </w:pPr>
      <w:r w:rsidRPr="00BF0E9E">
        <w:rPr>
          <w:rFonts w:ascii="Calibri" w:eastAsia="DengXian" w:hAnsi="Calibri" w:cs="Calibri"/>
          <w:b/>
          <w:bCs/>
          <w:sz w:val="28"/>
          <w:szCs w:val="28"/>
        </w:rPr>
        <w:t xml:space="preserve">Die Stuttgarter Vorfälle, der Generalstreik in der Bizone </w:t>
      </w:r>
    </w:p>
    <w:p w14:paraId="38D45BB4"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Unmittelbar nach Kriegsende kam es in den Westzonen zu Auseinandersetzungen, großen Massendemonstrationen, Hungermärschen, Streiks, zu örtlichen Generalstreiks und zum Generalstreik im November 1948.</w:t>
      </w:r>
    </w:p>
    <w:p w14:paraId="45CEE022"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Dabei ging es um</w:t>
      </w:r>
    </w:p>
    <w:p w14:paraId="2C7946BA" w14:textId="77777777" w:rsidR="00BF0E9E" w:rsidRPr="00BF0E9E" w:rsidRDefault="00BF0E9E" w:rsidP="00BF0E9E">
      <w:pPr>
        <w:numPr>
          <w:ilvl w:val="0"/>
          <w:numId w:val="2"/>
        </w:numPr>
        <w:spacing w:line="240" w:lineRule="auto"/>
        <w:contextualSpacing/>
        <w:rPr>
          <w:rFonts w:ascii="Calibri" w:eastAsia="DengXian" w:hAnsi="Calibri" w:cs="Calibri"/>
          <w:sz w:val="28"/>
          <w:szCs w:val="28"/>
        </w:rPr>
      </w:pPr>
      <w:r w:rsidRPr="00BF0E9E">
        <w:rPr>
          <w:rFonts w:ascii="Calibri" w:eastAsia="DengXian" w:hAnsi="Calibri" w:cs="Calibri"/>
          <w:sz w:val="28"/>
          <w:szCs w:val="28"/>
        </w:rPr>
        <w:t>den von Ludwig Erhard, Direktor des Wirtschaftsrates der Bizone, erlassenen Lohnstopps, sowie übertriebene Preissteigerungen bei Lebensmitteln und Gütern des täglichen Bedarfs in einer Höhe zwischen 25 und 100 Prozent;</w:t>
      </w:r>
    </w:p>
    <w:p w14:paraId="439B2742" w14:textId="77777777" w:rsidR="00BF0E9E" w:rsidRPr="00BF0E9E" w:rsidRDefault="00BF0E9E" w:rsidP="00BF0E9E">
      <w:pPr>
        <w:numPr>
          <w:ilvl w:val="0"/>
          <w:numId w:val="3"/>
        </w:numPr>
        <w:spacing w:line="240" w:lineRule="auto"/>
        <w:contextualSpacing/>
        <w:rPr>
          <w:rFonts w:ascii="Calibri" w:eastAsia="DengXian" w:hAnsi="Calibri" w:cs="Calibri"/>
          <w:sz w:val="28"/>
          <w:szCs w:val="28"/>
        </w:rPr>
      </w:pPr>
      <w:r w:rsidRPr="00BF0E9E">
        <w:rPr>
          <w:rFonts w:ascii="Calibri" w:eastAsia="DengXian" w:hAnsi="Calibri" w:cs="Calibri"/>
          <w:sz w:val="28"/>
          <w:szCs w:val="28"/>
        </w:rPr>
        <w:t>den im Ergebnis der Erklärung Erhards zur "freien Marktwirtschaft" eingetretenen sozialen Notstand und soziale Ungerechtigkeit;</w:t>
      </w:r>
    </w:p>
    <w:p w14:paraId="323DF914" w14:textId="77777777" w:rsidR="00BF0E9E" w:rsidRPr="00BF0E9E" w:rsidRDefault="00BF0E9E" w:rsidP="00BF0E9E">
      <w:pPr>
        <w:numPr>
          <w:ilvl w:val="0"/>
          <w:numId w:val="3"/>
        </w:numPr>
        <w:spacing w:line="240" w:lineRule="auto"/>
        <w:contextualSpacing/>
        <w:rPr>
          <w:rFonts w:ascii="Calibri" w:eastAsia="DengXian" w:hAnsi="Calibri" w:cs="Calibri"/>
          <w:sz w:val="28"/>
          <w:szCs w:val="28"/>
        </w:rPr>
      </w:pPr>
      <w:r w:rsidRPr="00BF0E9E">
        <w:rPr>
          <w:rFonts w:ascii="Calibri" w:eastAsia="DengXian" w:hAnsi="Calibri" w:cs="Calibri"/>
          <w:sz w:val="28"/>
          <w:szCs w:val="28"/>
        </w:rPr>
        <w:t xml:space="preserve">die Missachtung der Demokratie. </w:t>
      </w:r>
    </w:p>
    <w:p w14:paraId="0E892F8A"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Nachdem der Gewerkschaftsvorstand von Württemberg-Baden eine zonenübergreifende oder auf das Land bezogene Protestaktion abgelehnt hatte, organisierte der Ortsvorstand Stuttgart am 28. Oktober 1948 auf massiven Druck aus den Betrieben um 14.00 Uhr eine Protestaktion auf dem Karlsplatz. Die Beschäftigten der Betriebe verließen 13.00 Uhr ihre Arbeitsplätze und strömten, oft auch in Demonstrationszügen, zum Kundgebungsplatz. Statt der erwarteten 40.000 kamen bis zu 80.000 Kundgebungsteilnehmer, so dass man zusätzlich den Schlossplatz und Schlossgarten einbeziehen musste. </w:t>
      </w:r>
    </w:p>
    <w:p w14:paraId="3FF1683F"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Nach der Rede des Vorsitzenden des Ortsvorstandes endete die Kundgebung und die Teilnehmer verließen geschlossen die Kundgebungsplätze. Dabei kam es in der unteren Königstrasse, einer zentralen Stuttgarter Einkaufsstraße, zu Tumulten.</w:t>
      </w:r>
    </w:p>
    <w:p w14:paraId="2B390BAF"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In dieser Straße befanden sich Geschäftsneubauten und wieder aufgebaute moderne Geschäfte mit exklusiven hochpreisigen Läden und in den Schaufenstern ausgestellten Waren zu exorbitanten Preisen. </w:t>
      </w:r>
    </w:p>
    <w:p w14:paraId="46820766"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Die rückkehrenden Teilnehmer äußerten sich lautstark zu diesen hohen Preisen und kritisierten den bereits aufgezogenen Polizeischutz. Angestellte eines berüchtigten Kaufhauses machten sich über die vorbeiziehenden Kundgebungsteilnehmer lustig.</w:t>
      </w:r>
    </w:p>
    <w:p w14:paraId="0562B132"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lastRenderedPageBreak/>
        <w:t>Die Situation eskalierte und der Tumult begann, sich auf die gesamte Königstrasse auszubreiten. Die gereizte Stimmung schlug um in gewaltsame Demonstrationen. Gitter vor den Fenstern wurden entrissen, Steinwürfe zerstörten Fenster. Die deutsche Polizei griff mit Schlagstöcken ein. Es kam zu harten körperlichen Auseinandersetzungen zwischen den Kundgebungsteilnehmern und der Polizei, Flaschen und Steine wurden geworfen.</w:t>
      </w:r>
    </w:p>
    <w:p w14:paraId="3634762D"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Kurze Zeit danach traf die amerikanische Militärpolizei und eine mobile, schwerbewaffnete, für Aufstandsbekämpfung trainierte US-Truppe </w:t>
      </w:r>
      <w:proofErr w:type="spellStart"/>
      <w:r w:rsidRPr="00BF0E9E">
        <w:rPr>
          <w:rFonts w:ascii="Calibri" w:eastAsia="DengXian" w:hAnsi="Calibri" w:cs="Calibri"/>
          <w:sz w:val="28"/>
          <w:szCs w:val="28"/>
        </w:rPr>
        <w:t>Consterbulary</w:t>
      </w:r>
      <w:proofErr w:type="spellEnd"/>
      <w:r w:rsidRPr="00BF0E9E">
        <w:rPr>
          <w:rFonts w:ascii="Calibri" w:eastAsia="DengXian" w:hAnsi="Calibri" w:cs="Calibri"/>
          <w:sz w:val="28"/>
          <w:szCs w:val="28"/>
        </w:rPr>
        <w:t xml:space="preserve"> ein. Diese gingen mit Tränengas, aufgepflanzten Bajonetten und Panzern gegen die Kundgebungsteilnehmer vor.</w:t>
      </w:r>
    </w:p>
    <w:p w14:paraId="15A659DE"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Auf beiden Seiten gab es Verletzte und es kam zu Verhaftungen. Aburteilungen erfolgten und für Stuttgart wurde eine Ausgangssperre mit Versammlungsverbot verfügt.</w:t>
      </w:r>
    </w:p>
    <w:p w14:paraId="29D251FF"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Zur gleichen Zeit und auch nach den Ereignissen in Stuttgart kam es in allen West-Zonen zu einer mächtigen Protestwelle. Die Arbeitslosigkeit stieg auf über eine Million. So kam es in Mannheim, Bremen, Nürnberg, im Ruhrgebiet, der Rhein-Neckar-Region und in anderen Zentren zu gleichen aufständischen Demonstrationen, Kundgebungen, Streiks und örtlichen Generalstreiks, an denen sich hunderttausende Menschen, Betriebsbelegschaften und örtliche Gewerkschaftsorganisationen beteiligten.</w:t>
      </w:r>
    </w:p>
    <w:p w14:paraId="04A06DE5"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Die Erhard’sche freie Marktwirtschaft traf vor allem die lohnabhängige Bevölkerung und die Sozialrentner. Sie standen mit leeren Geldbeuteln vor den gefüllten Schaufenstern.</w:t>
      </w:r>
    </w:p>
    <w:p w14:paraId="19A49DE5"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Das auffallende an diesen Massenprotesten und Demonstrationen war, dass sie ausschließlich von den lokalen gewerkschaftlichen Vorständen organisiert und getragen wurden, einschließlich der Redner. Die gewerkschaftlichen Landesverbände und Parteien waren nicht beteiligt und hielten sich zurück.</w:t>
      </w:r>
    </w:p>
    <w:p w14:paraId="5B4A1A67"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Dem ständig stärker werdenden Druck der gewerkschaftlichen Basis nach überregionalen Aktionen mussten sich Ende 1948 nun auch die gewerkschaftlichen Vorstände der verschiedenen westlichen Zonen beugen.</w:t>
      </w:r>
    </w:p>
    <w:p w14:paraId="44E3D4CF"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So rief der Gewerkschaftsrat der Bizone zu einem Generalstreik und einer amtlichen Verkündung des wirtschaftlichen Notstandes, verbunden mit einem 10 Punkte umfassenden Forderungskatalog auf. An der 24-stündigen Arbeitsniederlegung beteiligten sich nach gewerkschaftlichen Schätzungen 9,25 Millionen der insgesamt 11,7 Millionen Beschäftigten. </w:t>
      </w:r>
    </w:p>
    <w:p w14:paraId="7367D88C"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lastRenderedPageBreak/>
        <w:t>Dieser Generalstreik war eindeutig ein politischer Streik, es wurden zentrale politische Veränderungen eingefordert, eine Änderung der politischen Rahmenbedingungen, und die Beendigung des wirtschaftlichen Notstandes durch eine Marktwirtschaft mit sozialem Inhalt.</w:t>
      </w:r>
    </w:p>
    <w:p w14:paraId="71EB5A68"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Anschließend ist zu vermerken, der Kampf der arbeitenden Klasse zwang die Militärverwaltungen und die von ihnen eingesetzten deutschen Wirtschafts- und Verwaltungsorgane zu Kurskorrekturen.</w:t>
      </w:r>
    </w:p>
    <w:p w14:paraId="6CF8492E"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Durch den von den örtlichen Gewerkschaftsvorständen organisierten Widerstand machten sie sich zum Fürsprecher einer breiten Bewegung und sie erwirkten einen Durchbruch für eine soziale Marktwirtschaft. </w:t>
      </w:r>
    </w:p>
    <w:p w14:paraId="0C1C5E3A"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Damit leiteten sie das Ende der von Ludwig Erhard erst zuvor verkündeten freien Marktwirtschaft ein. Somit waren die Millionen Demonstrierenden und Streikenden die eigentlichen Akteure und Geburtshelfer einer neuen, sozialen Marktwirtschaft.  Damit bleibt die Sage, Erhard sei der Vater der sozialen Marktwirtschaft, ein unglaubwürdiges Märchen. </w:t>
      </w:r>
    </w:p>
    <w:p w14:paraId="37579BEE"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Bei den Massenbewegungen von 1946 bis 1948 und ihren Forderungen ging es nicht nur gegen den Lohnstopp (dabei hatten sich die westlichen Besatzungsmächte auf ein Gesetz vom Oktober 1939 bezogen) und die Preistreiberei. Die Forderungen der Mehrheit der werktätigen Bevölkerung und gewerkschaftlichen Basis waren eingebunden in die Forderungen um eine planwirtschaftliche und wirtschaftsdemokratische Umgestaltung der westdeutschen Wirtschaft und die Überführung des Bankkapitals und der Grundstoffindustrie in Gemeineigentum.</w:t>
      </w:r>
    </w:p>
    <w:p w14:paraId="3705D087"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In diesen Jahren, unmittelbar nach Kriegsende, wollte das Volk in den westlichen Zonen grundlegende gesellschaftliche Umwälzungen. </w:t>
      </w:r>
    </w:p>
    <w:p w14:paraId="751DA76D"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 xml:space="preserve">Getragen von volksaufstandsartigen Demonstrationen und massenhaften Arbeits-niederlegungen wollte man eine soziale Gesellschaft und mehr volkswirtschaftliches Gemeineigentum. Das aber war nicht im Interesse des amerikanischen und deutschen Großkapitals und deshalb wurde in Stuttgart der basisorientierte gewerkschaftliche Aufstand mit polizeilicher und militärischer Gewalt niedergeschlagen. Das alles wurde verheimlicht. Ein Meisterstück der Demagogie, Manipulierung und Volksverführung. </w:t>
      </w:r>
    </w:p>
    <w:p w14:paraId="0DACFF61" w14:textId="77777777" w:rsidR="00BF0E9E" w:rsidRPr="00BF0E9E" w:rsidRDefault="00BF0E9E" w:rsidP="00BF0E9E">
      <w:pPr>
        <w:spacing w:line="240" w:lineRule="auto"/>
        <w:rPr>
          <w:rFonts w:ascii="Calibri" w:eastAsia="DengXian" w:hAnsi="Calibri" w:cs="Calibri"/>
          <w:sz w:val="28"/>
          <w:szCs w:val="28"/>
        </w:rPr>
      </w:pPr>
      <w:r w:rsidRPr="00BF0E9E">
        <w:rPr>
          <w:rFonts w:ascii="Calibri" w:eastAsia="DengXian" w:hAnsi="Calibri" w:cs="Calibri"/>
          <w:sz w:val="28"/>
          <w:szCs w:val="28"/>
        </w:rPr>
        <w:t>Deshalb gibt es in Berlin oder anderswo auch keine Straße des 28. Oktober 1946 oder Straße des 12. November 1946 (letzter deutscher Generalstreik).</w:t>
      </w:r>
    </w:p>
    <w:p w14:paraId="5EB4A80C" w14:textId="40CDEC9A" w:rsidR="00B54FBD" w:rsidRDefault="00B54FBD"/>
    <w:p w14:paraId="36FAAAE9" w14:textId="497B73C0" w:rsidR="00BF0E9E" w:rsidRDefault="00BF0E9E"/>
    <w:p w14:paraId="2014750D" w14:textId="4BDB4791" w:rsidR="00BF0E9E" w:rsidRDefault="00BF0E9E"/>
    <w:p w14:paraId="460F5F06" w14:textId="77777777" w:rsidR="00BF0E9E" w:rsidRPr="00BF0E9E" w:rsidRDefault="00BF0E9E" w:rsidP="00BF0E9E">
      <w:pPr>
        <w:rPr>
          <w:rFonts w:eastAsia="SimSun" w:cstheme="minorHAnsi"/>
          <w:sz w:val="24"/>
          <w:szCs w:val="24"/>
          <w:lang w:val="en-US" w:eastAsia="zh-CN"/>
        </w:rPr>
      </w:pPr>
      <w:r w:rsidRPr="00BF0E9E">
        <w:rPr>
          <w:rFonts w:eastAsia="SimSun" w:cstheme="minorHAnsi"/>
          <w:sz w:val="24"/>
          <w:szCs w:val="24"/>
          <w:lang w:eastAsia="zh-CN"/>
        </w:rPr>
        <w:t>Anlage 2b</w:t>
      </w:r>
    </w:p>
    <w:p w14:paraId="56BD5347" w14:textId="77777777" w:rsidR="00BF0E9E" w:rsidRPr="00BF0E9E" w:rsidRDefault="00BF0E9E" w:rsidP="00BF0E9E">
      <w:pPr>
        <w:spacing w:line="240" w:lineRule="auto"/>
        <w:rPr>
          <w:rFonts w:eastAsia="SimSun" w:cstheme="minorHAnsi"/>
          <w:b/>
          <w:bCs/>
          <w:sz w:val="28"/>
          <w:szCs w:val="28"/>
          <w:lang w:val="en-US" w:eastAsia="zh-CN"/>
        </w:rPr>
      </w:pPr>
      <w:r w:rsidRPr="00BF0E9E">
        <w:rPr>
          <w:rFonts w:eastAsia="SimSun" w:cstheme="minorHAnsi"/>
          <w:b/>
          <w:bCs/>
          <w:sz w:val="28"/>
          <w:szCs w:val="28"/>
          <w:lang w:eastAsia="zh-CN"/>
        </w:rPr>
        <w:t>Auszüge aus noch gültigen Landesverfassungen der Länder Hessen und Nordrhein-Westfalen</w:t>
      </w:r>
    </w:p>
    <w:p w14:paraId="3830AC6D" w14:textId="77777777" w:rsidR="00BF0E9E" w:rsidRPr="00BF0E9E" w:rsidRDefault="00BF0E9E" w:rsidP="00BF0E9E">
      <w:pPr>
        <w:spacing w:line="240" w:lineRule="auto"/>
        <w:rPr>
          <w:rFonts w:eastAsia="SimSun" w:cstheme="minorHAnsi"/>
          <w:sz w:val="24"/>
          <w:szCs w:val="24"/>
          <w:lang w:val="en-US" w:eastAsia="zh-CN"/>
        </w:rPr>
      </w:pPr>
    </w:p>
    <w:p w14:paraId="3E539F13" w14:textId="77777777" w:rsidR="00BF0E9E" w:rsidRPr="00BF0E9E" w:rsidRDefault="00BF0E9E" w:rsidP="00BF0E9E">
      <w:pPr>
        <w:spacing w:line="240" w:lineRule="auto"/>
        <w:rPr>
          <w:rFonts w:eastAsia="SimSun" w:cstheme="minorHAnsi"/>
          <w:b/>
          <w:bCs/>
          <w:sz w:val="28"/>
          <w:szCs w:val="28"/>
          <w:lang w:val="en-US" w:eastAsia="zh-CN"/>
        </w:rPr>
      </w:pPr>
      <w:r w:rsidRPr="00BF0E9E">
        <w:rPr>
          <w:rFonts w:eastAsia="SimSun" w:cstheme="minorHAnsi"/>
          <w:b/>
          <w:bCs/>
          <w:sz w:val="28"/>
          <w:szCs w:val="28"/>
          <w:lang w:eastAsia="zh-CN"/>
        </w:rPr>
        <w:t xml:space="preserve">Verfassung des Landes Hessen </w:t>
      </w:r>
    </w:p>
    <w:p w14:paraId="290A6EB3" w14:textId="77777777" w:rsidR="00BF0E9E" w:rsidRPr="00BF0E9E" w:rsidRDefault="00BF0E9E" w:rsidP="00BF0E9E">
      <w:pPr>
        <w:spacing w:line="240" w:lineRule="auto"/>
        <w:rPr>
          <w:rFonts w:eastAsia="SimSun" w:cstheme="minorHAnsi"/>
          <w:i/>
          <w:iCs/>
          <w:sz w:val="28"/>
          <w:szCs w:val="28"/>
          <w:lang w:val="en-US" w:eastAsia="zh-CN"/>
        </w:rPr>
      </w:pPr>
      <w:r w:rsidRPr="00BF0E9E">
        <w:rPr>
          <w:rFonts w:eastAsia="SimSun" w:cstheme="minorHAnsi"/>
          <w:i/>
          <w:iCs/>
          <w:sz w:val="28"/>
          <w:szCs w:val="28"/>
          <w:lang w:eastAsia="zh-CN"/>
        </w:rPr>
        <w:t>PARAGRAF 37</w:t>
      </w:r>
    </w:p>
    <w:p w14:paraId="104597DB" w14:textId="77777777" w:rsidR="00BF0E9E" w:rsidRPr="00BF0E9E" w:rsidRDefault="00BF0E9E" w:rsidP="00BF0E9E">
      <w:pPr>
        <w:spacing w:line="240" w:lineRule="auto"/>
        <w:rPr>
          <w:rFonts w:eastAsia="SimSun" w:cstheme="minorHAnsi"/>
          <w:sz w:val="28"/>
          <w:szCs w:val="28"/>
          <w:lang w:val="en-US" w:eastAsia="zh-CN"/>
        </w:rPr>
      </w:pPr>
      <w:r w:rsidRPr="00BF0E9E">
        <w:rPr>
          <w:rFonts w:eastAsia="SimSun" w:cstheme="minorHAnsi"/>
          <w:sz w:val="28"/>
          <w:szCs w:val="28"/>
          <w:lang w:eastAsia="zh-CN"/>
        </w:rPr>
        <w:t>(1) Angestellte, Arbeiter und Beamte aus allen Betrieben und Behörden erhalten unter Mitwirkung der Gewerkschaften gemeinsame Betriebsvertretungen, die in allgemeiner, gleicher, freier, geheimer und unmittelbarer Wahl von den Arbeitnehmern zu wählen sind.</w:t>
      </w:r>
    </w:p>
    <w:p w14:paraId="58DF6354" w14:textId="77777777" w:rsidR="00BF0E9E" w:rsidRPr="00BF0E9E" w:rsidRDefault="00BF0E9E" w:rsidP="00BF0E9E">
      <w:pPr>
        <w:spacing w:line="240" w:lineRule="auto"/>
        <w:rPr>
          <w:rFonts w:eastAsia="SimSun" w:cstheme="minorHAnsi"/>
          <w:sz w:val="28"/>
          <w:szCs w:val="28"/>
          <w:lang w:val="en-US" w:eastAsia="zh-CN"/>
        </w:rPr>
      </w:pPr>
      <w:r w:rsidRPr="00BF0E9E">
        <w:rPr>
          <w:rFonts w:eastAsia="SimSun" w:cstheme="minorHAnsi"/>
          <w:sz w:val="28"/>
          <w:szCs w:val="28"/>
          <w:lang w:eastAsia="zh-CN"/>
        </w:rPr>
        <w:t xml:space="preserve">(2) Die Betriebsvertretungen sind dazu berufen, im Benehmen mit den Gewerkschaften gleich- berechtigt mit den Unternehmern in sozialen, personellen und wirtschaftlichen Fragen des Betriebes mitzubestimmen. </w:t>
      </w:r>
    </w:p>
    <w:p w14:paraId="0CF28541" w14:textId="77777777" w:rsidR="00BF0E9E" w:rsidRPr="00BF0E9E" w:rsidRDefault="00BF0E9E" w:rsidP="00BF0E9E">
      <w:pPr>
        <w:spacing w:line="240" w:lineRule="auto"/>
        <w:rPr>
          <w:rFonts w:eastAsia="SimSun" w:cstheme="minorHAnsi"/>
          <w:sz w:val="28"/>
          <w:szCs w:val="28"/>
          <w:lang w:val="en-US" w:eastAsia="zh-CN"/>
        </w:rPr>
      </w:pPr>
      <w:r w:rsidRPr="00BF0E9E">
        <w:rPr>
          <w:rFonts w:eastAsia="SimSun" w:cstheme="minorHAnsi"/>
          <w:sz w:val="28"/>
          <w:szCs w:val="28"/>
          <w:lang w:eastAsia="zh-CN"/>
        </w:rPr>
        <w:t xml:space="preserve">(3) Das Nähere regelt das Gesetz. </w:t>
      </w:r>
    </w:p>
    <w:p w14:paraId="4EEECC21" w14:textId="77777777" w:rsidR="00BF0E9E" w:rsidRPr="00BF0E9E" w:rsidRDefault="00BF0E9E" w:rsidP="00BF0E9E">
      <w:pPr>
        <w:spacing w:line="240" w:lineRule="auto"/>
        <w:rPr>
          <w:rFonts w:eastAsia="SimSun" w:cstheme="minorHAnsi"/>
          <w:i/>
          <w:iCs/>
          <w:sz w:val="28"/>
          <w:szCs w:val="28"/>
          <w:lang w:val="en-US" w:eastAsia="zh-CN"/>
        </w:rPr>
      </w:pPr>
      <w:r w:rsidRPr="00BF0E9E">
        <w:rPr>
          <w:rFonts w:eastAsia="SimSun" w:cstheme="minorHAnsi"/>
          <w:i/>
          <w:iCs/>
          <w:sz w:val="28"/>
          <w:szCs w:val="28"/>
          <w:lang w:eastAsia="zh-CN"/>
        </w:rPr>
        <w:t>PARAGRAF 41</w:t>
      </w:r>
    </w:p>
    <w:p w14:paraId="3A19ECB3" w14:textId="77777777" w:rsidR="00BF0E9E" w:rsidRPr="00BF0E9E" w:rsidRDefault="00BF0E9E" w:rsidP="00BF0E9E">
      <w:pPr>
        <w:spacing w:line="240" w:lineRule="auto"/>
        <w:rPr>
          <w:rFonts w:eastAsia="SimSun" w:cstheme="minorHAnsi"/>
          <w:sz w:val="28"/>
          <w:szCs w:val="28"/>
          <w:lang w:eastAsia="zh-CN"/>
        </w:rPr>
      </w:pPr>
      <w:r w:rsidRPr="00BF0E9E">
        <w:rPr>
          <w:rFonts w:eastAsia="SimSun" w:cstheme="minorHAnsi"/>
          <w:sz w:val="28"/>
          <w:szCs w:val="28"/>
          <w:lang w:eastAsia="zh-CN"/>
        </w:rPr>
        <w:t xml:space="preserve">(1) Mit Inkrafttreten dieser Verfassung werden            </w:t>
      </w:r>
    </w:p>
    <w:p w14:paraId="0F9A5949" w14:textId="77777777" w:rsidR="00BF0E9E" w:rsidRPr="00BF0E9E" w:rsidRDefault="00BF0E9E" w:rsidP="00BF0E9E">
      <w:pPr>
        <w:spacing w:line="240" w:lineRule="auto"/>
        <w:rPr>
          <w:rFonts w:eastAsia="SimSun" w:cstheme="minorHAnsi"/>
          <w:sz w:val="28"/>
          <w:szCs w:val="28"/>
          <w:lang w:eastAsia="zh-CN"/>
        </w:rPr>
      </w:pPr>
      <w:r w:rsidRPr="00BF0E9E">
        <w:rPr>
          <w:rFonts w:eastAsia="SimSun" w:cstheme="minorHAnsi"/>
          <w:sz w:val="28"/>
          <w:szCs w:val="28"/>
          <w:lang w:eastAsia="zh-CN"/>
        </w:rPr>
        <w:t>1. in Gemeineigentum überführt: der Bergbau (Kohlen, Kali, Erze), die Betriebe der Eisen- und Stahlerzeugung, die Betriebe der Energiewirtschaft und das an Schienen oder Oberleitungen gebundene Verkehrswesen,</w:t>
      </w:r>
    </w:p>
    <w:p w14:paraId="2F5FF939" w14:textId="77777777" w:rsidR="00BF0E9E" w:rsidRPr="00BF0E9E" w:rsidRDefault="00BF0E9E" w:rsidP="00BF0E9E">
      <w:pPr>
        <w:spacing w:line="240" w:lineRule="auto"/>
        <w:rPr>
          <w:rFonts w:eastAsia="SimSun" w:cstheme="minorHAnsi"/>
          <w:sz w:val="28"/>
          <w:szCs w:val="28"/>
          <w:lang w:eastAsia="zh-CN"/>
        </w:rPr>
      </w:pPr>
      <w:r w:rsidRPr="00BF0E9E">
        <w:rPr>
          <w:rFonts w:eastAsia="SimSun" w:cstheme="minorHAnsi"/>
          <w:sz w:val="28"/>
          <w:szCs w:val="28"/>
          <w:lang w:eastAsia="zh-CN"/>
        </w:rPr>
        <w:t xml:space="preserve">2. vom Staate beaufsichtigt oder verwaltet: die Großbanken und Versicherungsunternehmen und diejenigen in Ziffer 1 genannten Betriebe, deren Sitz nicht in Hessen liegt. </w:t>
      </w:r>
    </w:p>
    <w:p w14:paraId="0FE8BFED" w14:textId="77777777" w:rsidR="00BF0E9E" w:rsidRPr="00BF0E9E" w:rsidRDefault="00BF0E9E" w:rsidP="00BF0E9E">
      <w:pPr>
        <w:spacing w:line="240" w:lineRule="auto"/>
        <w:rPr>
          <w:rFonts w:eastAsia="SimSun" w:cstheme="minorHAnsi"/>
          <w:sz w:val="28"/>
          <w:szCs w:val="28"/>
          <w:lang w:eastAsia="zh-CN"/>
        </w:rPr>
      </w:pPr>
      <w:r w:rsidRPr="00BF0E9E">
        <w:rPr>
          <w:rFonts w:eastAsia="SimSun" w:cstheme="minorHAnsi"/>
          <w:sz w:val="28"/>
          <w:szCs w:val="28"/>
          <w:lang w:eastAsia="zh-CN"/>
        </w:rPr>
        <w:t xml:space="preserve">(2) Das Nähere bestimmt das Gesetz. </w:t>
      </w:r>
    </w:p>
    <w:p w14:paraId="6F178DC2" w14:textId="03E80C31" w:rsidR="00BF0E9E" w:rsidRDefault="00BF0E9E" w:rsidP="00BF0E9E">
      <w:pPr>
        <w:spacing w:line="240" w:lineRule="auto"/>
        <w:rPr>
          <w:rFonts w:eastAsia="SimSun" w:cstheme="minorHAnsi"/>
          <w:sz w:val="28"/>
          <w:szCs w:val="28"/>
          <w:lang w:eastAsia="zh-CN"/>
        </w:rPr>
      </w:pPr>
    </w:p>
    <w:p w14:paraId="78285DC2" w14:textId="3FA1D0E4" w:rsidR="00BF0E9E" w:rsidRDefault="00BF0E9E" w:rsidP="00BF0E9E">
      <w:pPr>
        <w:spacing w:line="240" w:lineRule="auto"/>
        <w:rPr>
          <w:rFonts w:eastAsia="SimSun" w:cstheme="minorHAnsi"/>
          <w:sz w:val="28"/>
          <w:szCs w:val="28"/>
          <w:lang w:eastAsia="zh-CN"/>
        </w:rPr>
      </w:pPr>
    </w:p>
    <w:p w14:paraId="3DD78695" w14:textId="1052CE1C" w:rsidR="00BF0E9E" w:rsidRDefault="00BF0E9E" w:rsidP="00BF0E9E">
      <w:pPr>
        <w:spacing w:line="240" w:lineRule="auto"/>
        <w:rPr>
          <w:rFonts w:eastAsia="SimSun" w:cstheme="minorHAnsi"/>
          <w:sz w:val="28"/>
          <w:szCs w:val="28"/>
          <w:lang w:eastAsia="zh-CN"/>
        </w:rPr>
      </w:pPr>
    </w:p>
    <w:p w14:paraId="53B9C2B1" w14:textId="186ED4D3" w:rsidR="00BF0E9E" w:rsidRDefault="00BF0E9E" w:rsidP="00BF0E9E">
      <w:pPr>
        <w:spacing w:line="240" w:lineRule="auto"/>
        <w:rPr>
          <w:rFonts w:eastAsia="SimSun" w:cstheme="minorHAnsi"/>
          <w:sz w:val="28"/>
          <w:szCs w:val="28"/>
          <w:lang w:eastAsia="zh-CN"/>
        </w:rPr>
      </w:pPr>
    </w:p>
    <w:p w14:paraId="6EE751EE" w14:textId="3B3F08E7" w:rsidR="00BF0E9E" w:rsidRDefault="00BF0E9E" w:rsidP="00BF0E9E">
      <w:pPr>
        <w:spacing w:line="240" w:lineRule="auto"/>
        <w:rPr>
          <w:rFonts w:eastAsia="SimSun" w:cstheme="minorHAnsi"/>
          <w:sz w:val="28"/>
          <w:szCs w:val="28"/>
          <w:lang w:eastAsia="zh-CN"/>
        </w:rPr>
      </w:pPr>
    </w:p>
    <w:p w14:paraId="7C45600E" w14:textId="77777777" w:rsidR="00BF0E9E" w:rsidRPr="00BF0E9E" w:rsidRDefault="00BF0E9E" w:rsidP="00BF0E9E">
      <w:pPr>
        <w:spacing w:line="240" w:lineRule="auto"/>
        <w:rPr>
          <w:rFonts w:eastAsia="SimSun" w:cstheme="minorHAnsi"/>
          <w:sz w:val="28"/>
          <w:szCs w:val="28"/>
          <w:lang w:eastAsia="zh-CN"/>
        </w:rPr>
      </w:pPr>
    </w:p>
    <w:p w14:paraId="75A64130" w14:textId="77777777" w:rsidR="00BF0E9E" w:rsidRPr="00BF0E9E" w:rsidRDefault="00BF0E9E" w:rsidP="00BF0E9E">
      <w:pPr>
        <w:spacing w:line="240" w:lineRule="auto"/>
        <w:rPr>
          <w:rFonts w:eastAsia="SimSun" w:cstheme="minorHAnsi"/>
          <w:b/>
          <w:bCs/>
          <w:sz w:val="28"/>
          <w:szCs w:val="28"/>
          <w:lang w:eastAsia="zh-CN"/>
        </w:rPr>
      </w:pPr>
      <w:r w:rsidRPr="00BF0E9E">
        <w:rPr>
          <w:rFonts w:eastAsia="SimSun" w:cstheme="minorHAnsi"/>
          <w:b/>
          <w:bCs/>
          <w:sz w:val="28"/>
          <w:szCs w:val="28"/>
          <w:lang w:eastAsia="zh-CN"/>
        </w:rPr>
        <w:lastRenderedPageBreak/>
        <w:t xml:space="preserve">Verfassung für das Land Nordrhein-Westfalen </w:t>
      </w:r>
    </w:p>
    <w:p w14:paraId="061FB611" w14:textId="77777777" w:rsidR="00BF0E9E" w:rsidRPr="00BF0E9E" w:rsidRDefault="00BF0E9E" w:rsidP="00BF0E9E">
      <w:pPr>
        <w:spacing w:line="240" w:lineRule="auto"/>
        <w:rPr>
          <w:rFonts w:eastAsia="SimSun" w:cstheme="minorHAnsi"/>
          <w:i/>
          <w:iCs/>
          <w:sz w:val="28"/>
          <w:szCs w:val="28"/>
          <w:lang w:eastAsia="zh-CN"/>
        </w:rPr>
      </w:pPr>
      <w:r w:rsidRPr="00BF0E9E">
        <w:rPr>
          <w:rFonts w:eastAsia="SimSun" w:cstheme="minorHAnsi"/>
          <w:i/>
          <w:iCs/>
          <w:sz w:val="28"/>
          <w:szCs w:val="28"/>
          <w:lang w:eastAsia="zh-CN"/>
        </w:rPr>
        <w:t>Artikel 27</w:t>
      </w:r>
    </w:p>
    <w:p w14:paraId="099865BF" w14:textId="77777777" w:rsidR="00BF0E9E" w:rsidRPr="00BF0E9E" w:rsidRDefault="00BF0E9E" w:rsidP="00BF0E9E">
      <w:pPr>
        <w:spacing w:line="240" w:lineRule="auto"/>
        <w:rPr>
          <w:rFonts w:eastAsia="SimSun" w:cstheme="minorHAnsi"/>
          <w:sz w:val="28"/>
          <w:szCs w:val="28"/>
          <w:lang w:eastAsia="zh-CN"/>
        </w:rPr>
      </w:pPr>
      <w:r w:rsidRPr="00BF0E9E">
        <w:rPr>
          <w:rFonts w:eastAsia="SimSun" w:cstheme="minorHAnsi"/>
          <w:sz w:val="28"/>
          <w:szCs w:val="28"/>
          <w:lang w:eastAsia="zh-CN"/>
        </w:rPr>
        <w:t xml:space="preserve">(1) Großbetriebe der Grundstoffindustrie und Unternehmen, die wegen ihrer monopolartigen Stellung besondere Bedeutung haben, sollen in Gemeineigentum überführt werden. </w:t>
      </w:r>
    </w:p>
    <w:p w14:paraId="36841360" w14:textId="77777777" w:rsidR="00BF0E9E" w:rsidRPr="00BF0E9E" w:rsidRDefault="00BF0E9E" w:rsidP="00BF0E9E">
      <w:pPr>
        <w:spacing w:line="240" w:lineRule="auto"/>
        <w:rPr>
          <w:rFonts w:eastAsia="SimSun" w:cstheme="minorHAnsi"/>
          <w:sz w:val="28"/>
          <w:szCs w:val="28"/>
          <w:lang w:val="en-US" w:eastAsia="zh-CN"/>
        </w:rPr>
      </w:pPr>
      <w:r w:rsidRPr="00BF0E9E">
        <w:rPr>
          <w:rFonts w:eastAsia="SimSun" w:cstheme="minorHAnsi"/>
          <w:sz w:val="28"/>
          <w:szCs w:val="28"/>
          <w:lang w:eastAsia="zh-CN"/>
        </w:rPr>
        <w:t xml:space="preserve">(2) Zusammenschlüsse, die ihre wirtschaftliche Macht missbrauchen, sind zu verbieten.                                 </w:t>
      </w:r>
    </w:p>
    <w:p w14:paraId="36556955" w14:textId="1F99DC2D" w:rsidR="00BF0E9E" w:rsidRDefault="00BF0E9E"/>
    <w:p w14:paraId="6CA07C9E" w14:textId="63D9A42B" w:rsidR="00F47AF2" w:rsidRDefault="00F47AF2"/>
    <w:p w14:paraId="2F7BFFAE" w14:textId="430C8BEE" w:rsidR="00F47AF2" w:rsidRDefault="00F47AF2"/>
    <w:p w14:paraId="5360FB82" w14:textId="4A9D8018" w:rsidR="00F47AF2" w:rsidRDefault="00F47AF2"/>
    <w:p w14:paraId="1747F8B4" w14:textId="3F1CDF04" w:rsidR="00F47AF2" w:rsidRDefault="00F47AF2"/>
    <w:p w14:paraId="51A47D2F" w14:textId="2E636105" w:rsidR="00F47AF2" w:rsidRDefault="00F47AF2"/>
    <w:p w14:paraId="358DDAB4" w14:textId="1E0BF5B9" w:rsidR="00F47AF2" w:rsidRDefault="00F47AF2"/>
    <w:p w14:paraId="4BDE74E0" w14:textId="303697D5" w:rsidR="00F47AF2" w:rsidRDefault="00F47AF2"/>
    <w:p w14:paraId="396B93C8" w14:textId="6F112B7B" w:rsidR="00F47AF2" w:rsidRDefault="00F47AF2"/>
    <w:p w14:paraId="00BE06FF" w14:textId="151F1B1D" w:rsidR="00F47AF2" w:rsidRDefault="00F47AF2"/>
    <w:p w14:paraId="655FDD08" w14:textId="29AF7BC6" w:rsidR="00F47AF2" w:rsidRDefault="00F47AF2"/>
    <w:p w14:paraId="4C2C2076" w14:textId="53E63E49" w:rsidR="00F47AF2" w:rsidRDefault="00F47AF2"/>
    <w:p w14:paraId="42F0542E" w14:textId="18DA4480" w:rsidR="00F47AF2" w:rsidRDefault="00F47AF2"/>
    <w:p w14:paraId="0882A989" w14:textId="17AEA7BE" w:rsidR="00F47AF2" w:rsidRDefault="00F47AF2"/>
    <w:p w14:paraId="2265D5A1" w14:textId="37C13E68" w:rsidR="00F47AF2" w:rsidRDefault="00F47AF2"/>
    <w:p w14:paraId="0B83E91C" w14:textId="5E929C08" w:rsidR="00F47AF2" w:rsidRDefault="00F47AF2"/>
    <w:p w14:paraId="3978B5F9" w14:textId="66E9EDD7" w:rsidR="00F47AF2" w:rsidRDefault="00F47AF2"/>
    <w:p w14:paraId="37564FE3" w14:textId="054377D5" w:rsidR="00F47AF2" w:rsidRDefault="00F47AF2"/>
    <w:p w14:paraId="0858DAFB" w14:textId="53D5964A" w:rsidR="00F47AF2" w:rsidRDefault="00F47AF2"/>
    <w:p w14:paraId="43F37D2F" w14:textId="6F1647EB" w:rsidR="00F47AF2" w:rsidRDefault="00F47AF2"/>
    <w:p w14:paraId="44D1E607" w14:textId="4372647F" w:rsidR="00F47AF2" w:rsidRDefault="00F47AF2"/>
    <w:p w14:paraId="168640B1" w14:textId="376C9700" w:rsidR="00F47AF2" w:rsidRDefault="00F47AF2"/>
    <w:p w14:paraId="5BE9A687" w14:textId="5A6CCACC" w:rsidR="00F47AF2" w:rsidRDefault="00F47AF2">
      <w:r>
        <w:lastRenderedPageBreak/>
        <w:t>Anlage 3</w:t>
      </w:r>
    </w:p>
    <w:p w14:paraId="3F07A360" w14:textId="77777777" w:rsidR="00F47AF2" w:rsidRPr="00F47AF2" w:rsidRDefault="00F47AF2" w:rsidP="00F47AF2">
      <w:pPr>
        <w:spacing w:after="160" w:line="240" w:lineRule="auto"/>
        <w:rPr>
          <w:rFonts w:eastAsiaTheme="minorHAnsi" w:cstheme="minorHAnsi"/>
          <w:b/>
          <w:bCs/>
          <w:sz w:val="32"/>
          <w:szCs w:val="32"/>
          <w:lang w:eastAsia="en-US"/>
        </w:rPr>
      </w:pPr>
      <w:r w:rsidRPr="00F47AF2">
        <w:rPr>
          <w:rFonts w:eastAsiaTheme="minorHAnsi" w:cstheme="minorHAnsi"/>
          <w:b/>
          <w:bCs/>
          <w:sz w:val="32"/>
          <w:szCs w:val="32"/>
          <w:lang w:eastAsia="en-US"/>
        </w:rPr>
        <w:t>Zum jüngsten Abschnitt deutscher Gewerkschaftsgeschichte</w:t>
      </w:r>
    </w:p>
    <w:p w14:paraId="23136A0D" w14:textId="77777777" w:rsidR="00F47AF2" w:rsidRPr="00F47AF2" w:rsidRDefault="00F47AF2" w:rsidP="00F47AF2">
      <w:pPr>
        <w:spacing w:after="160" w:line="240" w:lineRule="auto"/>
        <w:rPr>
          <w:rFonts w:eastAsiaTheme="minorHAnsi" w:cstheme="minorHAnsi"/>
          <w:b/>
          <w:bCs/>
          <w:sz w:val="32"/>
          <w:szCs w:val="32"/>
          <w:lang w:eastAsia="en-US"/>
        </w:rPr>
      </w:pPr>
      <w:r w:rsidRPr="00F47AF2">
        <w:rPr>
          <w:rFonts w:eastAsiaTheme="minorHAnsi" w:cstheme="minorHAnsi"/>
          <w:b/>
          <w:bCs/>
          <w:sz w:val="32"/>
          <w:szCs w:val="32"/>
          <w:lang w:eastAsia="en-US"/>
        </w:rPr>
        <w:t>Start des Deutschen Gewerkschaftsbundes in die deutsche Einheit</w:t>
      </w:r>
    </w:p>
    <w:p w14:paraId="3AD835D6" w14:textId="77777777" w:rsidR="00F47AF2" w:rsidRPr="00F47AF2" w:rsidRDefault="00F47AF2" w:rsidP="00F47AF2">
      <w:pPr>
        <w:spacing w:after="160" w:line="240" w:lineRule="auto"/>
        <w:rPr>
          <w:rFonts w:eastAsiaTheme="minorHAnsi" w:cstheme="minorHAnsi"/>
          <w:b/>
          <w:bCs/>
          <w:sz w:val="28"/>
          <w:szCs w:val="28"/>
          <w:lang w:eastAsia="en-US"/>
        </w:rPr>
      </w:pPr>
    </w:p>
    <w:p w14:paraId="139626AA"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Mit diesem Beitrag zur jüngeren Geschichte der deutschen Gewerkschaften setzt der Förderverein zur Geschichte der deutschen Gewerkschaftsbewegung seine bisherigen Veröffentlichungsreihe, besonders über die Interessenvertretung des Freien Deutschen Gewerkschaftsbundes vor der deutschen Einheit, fort.</w:t>
      </w:r>
    </w:p>
    <w:p w14:paraId="02560C06"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Zur Vorgeschichte des 3. Oktober 1990 gehörte auch die Beziehungsgeschichte zwischen den deutschen Gewerkschaften nach 1945 und immer noch stellt sich die Frage: Warum gelang es nicht das erhoffte gewerkschaftliche „Wachstumspotential“ zu erschließen. Die anhaltende Ursachensuche im politischen und wirtschaftlichen System der DDR und den sogenannten „Karteileichen“ des FDGB führte nicht zur Beantwortung dieser Frage. Das Verschwinden oder gar Deckeln des im Regierungsauftrag vollzogenen Teufelswerkes der Treuhandanstalt hat sich als falsch erwiesen. Gewinner war die AFD. Nach 1990 hat sich nicht nur aus unserer Sicht das Kräfteverhältnis zwischen Kapital und Arbeit massiv zuungunsten der Gewerkschaften in Deutschland und Europa verschlechtert. Mit der Transformations-forschung werden die Wurzeln der Übel, an denen wir noch 30 Jahre später kranken, eher verschlechtert als offengelegt.</w:t>
      </w:r>
    </w:p>
    <w:p w14:paraId="3A17E180" w14:textId="69B9C65B"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Wandlungen in der Beziehungsgeschichte der deutschen Gewerkschaften nach 1945</w:t>
      </w:r>
    </w:p>
    <w:p w14:paraId="4132C27F"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Zunächst kann davon ausgegangen werden, dass der Neuaufbau der deutschen Gewerkschaften in allen vier Besatzungszonen und der Viersektorenstadt Groß-Berlin seit der Befreiung vom Faschismus von internationaler gewerkschaftlicher Solidarität begleitet war.</w:t>
      </w:r>
    </w:p>
    <w:p w14:paraId="535C4832"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Der 1945 in Paris gegründete Weltgewerkschaftsbund (WGB) setzte sich für die gesamtdeutsche Gewerkschaftseinheit ein. Das fand seinen Widerhall in allen Ländern und Provinzen Deutschlands bei den gewerkschaftlichen Aktivisten der ersten Stunde. Was den FDGB betraf, hieß es im Februar 1946 in den vom Gründungskongress beschlossenen „Grundsätzen und Aufgaben“:</w:t>
      </w:r>
    </w:p>
    <w:p w14:paraId="164A79A3" w14:textId="77777777"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„Im Interesse der Einheit des Deutschen Gewerkschaftsbundes erstreben wir eine Konferenz demokratisch gewählter Gewerkschaftsvertreter aus allen Gebieten Deutschlands.“</w:t>
      </w:r>
    </w:p>
    <w:p w14:paraId="42292307"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lastRenderedPageBreak/>
        <w:t>Noch im gleichen Monat hatte eine Delegation des WGB mit führenden Vertretern der britischen TUC, der französischen CGT, der US- amerikanischen CIO angehörten, in Düsseldorf eine Aussprache mit 130 Gewerkschaftsfunktionären.</w:t>
      </w:r>
    </w:p>
    <w:p w14:paraId="6E1EE262" w14:textId="16FB92C3"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sz w:val="28"/>
          <w:szCs w:val="28"/>
          <w:lang w:eastAsia="en-US"/>
        </w:rPr>
        <w:t xml:space="preserve">Hans Böckler, Vorsitzender der Gewerkschaften der britischen Zone, seit Oktober 1949 vom Gründungskongress des DGB zum Vorsitzenden gewählt, bekräftigte in dieser Aussage die Notwendigkeit, </w:t>
      </w:r>
      <w:r w:rsidRPr="00F47AF2">
        <w:rPr>
          <w:rFonts w:eastAsiaTheme="minorHAnsi" w:cstheme="minorHAnsi"/>
          <w:b/>
          <w:bCs/>
          <w:sz w:val="28"/>
          <w:szCs w:val="28"/>
          <w:lang w:eastAsia="en-US"/>
        </w:rPr>
        <w:t>„baldmöglichst die Zusammenfassung der Gewerkschaften zu einem reichseinheitlichen Gebilde in Angriff zu nehmen und bat die ausländischen Kollegen, diesen Punkt besondere Aufmerksamkeit zu widmen“.</w:t>
      </w:r>
    </w:p>
    <w:p w14:paraId="31DFB427"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Am 13. Bis 14. Juli 1946 trafen sich Vertreter der neuen freien Gewerkschaften der vier Besatzungszonen und Groß-Berlin in Frankfurt/Main im Haus der Bauarbeiter. Willi Richter, amerikanische Zone, späterer Bundesvorsitzender des DGB hatte zu dieser internationalen Beratung eingeladen. Sie war der Vermittlung des WGB und seines Generalsekretärs, dem französischen Gewerkschafter und Widerstandskämpfer Louis Saillant zu verdanken, dass der Alliierte Kontrollrat für Deutschland sich mit diesem gesamtdeutschen Projekt einverstanden erklärte.</w:t>
      </w:r>
    </w:p>
    <w:p w14:paraId="6E0EFB08"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Neun Interzonenkonferenzen der gesamtdeutschen Gewerkschaftsbünde und weitaus mehr internationale Treffen der Einzelgewerkschaften und Konferenzen der Personengruppen Jugend und Frauen sowie Beratungen zu Sachfragen, wie zur Sozialversicherung fanden statt. Wir alle wollten keine Restauration jener Verhältnisse, die zum Faschismus und zum zweiten Weltkrieg führten, keine Wiederkehr von Krupp, Thyssen und Abs.</w:t>
      </w:r>
    </w:p>
    <w:p w14:paraId="4FC14AF5"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Im Oktober 1947 beschloss die 6. Interzonenkonferenz in Bad Pyrmont, englische Besatzungszone, die Durchführung eines Allgemeinen deutschen Gewerkschafts- Kongress zur Wahl einer gesamtdeutschen Generalkommission mit Beirat der fünf Deutschen Gewerkschaftsbünde.</w:t>
      </w:r>
    </w:p>
    <w:p w14:paraId="456565F5"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Diese Entscheidung wurde zwei Monate vor der Londoner Außenministerkonferenz der Unterzeichnerstaaten des Potsdamer Abkommens im Dezember 1947 getroffen.</w:t>
      </w:r>
    </w:p>
    <w:p w14:paraId="6915574A" w14:textId="77777777" w:rsidR="000D1BAE"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Aber in London gab es dann keine Verständigung über den Abschluss eines Friedensvertrages. Die Westmächte zogen es vor, die Bildung des Teilstaates Bundesrepublik zu forcieren. Lucius Clay, Militärgouverneur der Vereinigten Staaten von Amerika für die amerikanische Zone in Deutschland und dem amerikanischen Sektor von Berlin (1947-1949), hatte in Konrad Adenauer und Ludwig Erhard treue deutsche Verbündete für seine Restaurationspolitik des deutschen Monopol- und Finanzkapitals gefunden. </w:t>
      </w:r>
    </w:p>
    <w:p w14:paraId="5E053062" w14:textId="4C3A066D"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sz w:val="28"/>
          <w:szCs w:val="28"/>
          <w:lang w:eastAsia="en-US"/>
        </w:rPr>
        <w:lastRenderedPageBreak/>
        <w:t xml:space="preserve">Ihnen war ein strategisches Ziel gemeinsam:  </w:t>
      </w:r>
      <w:r w:rsidRPr="00F47AF2">
        <w:rPr>
          <w:rFonts w:eastAsiaTheme="minorHAnsi" w:cstheme="minorHAnsi"/>
          <w:b/>
          <w:bCs/>
          <w:sz w:val="28"/>
          <w:szCs w:val="28"/>
          <w:lang w:eastAsia="en-US"/>
        </w:rPr>
        <w:t>Lieber das halbe Deutschland ganz als das ganze Deutschland halb.</w:t>
      </w:r>
    </w:p>
    <w:p w14:paraId="081E0B47"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Da sich nach der gescheiterten Londoner Außenministerkonferenz seitens einiger westdeutscher Gewerkschaftsvertreter Widerspruch gegen den Zeitplan zur Durchführung eines Allgemeinen deutschen Gewerkschaftskongresses erhoben, schlug der FDGB, um zu retten was noch zu retten war, für die verabredete Dresdner Interzonenkonferenz den Kompromiss vor, zunächst einen Zentralrat der deutschen Gewerkschaften auf der Grundlage der Delegationen der Gewerkschaftsbünde vor dem bereits beschlossenen gewerkschaftlichen Reichskongress zu bilden. Dieser Vorschlag fand die Zustimmung der Vertreter aller Gewerkschaftsbünde. Damit war zunächst der Abbruch der Interzonenkonferenzen verhindert und die Verständigungstür noch nicht zugeschlagen. Damit war noch ein Machtwort der Gewerkschaften für ein neues Deutschland möglich. Neue Gefahren drohten durch explosive Lage im Kampf um Berlin.</w:t>
      </w:r>
    </w:p>
    <w:p w14:paraId="03A356F2"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Im Zusammenhang mit der Einführung D-Mark vollzogen sozialdemokratische Oppositionelle die Spaltung des FDGB Groß-Berlin. Von der US-Militärbehörde wurde zugleich im Juli 1948 die Tätigkeit des FDGB im amerikanischen Sektor, das heißt in den Berliner Bezirken Neukölln, Tempelhof, Schöneberg, Steglitz und Zehlendorf untersagt, und wenig später die Tarifhoheit der Einzelgewerkschaften des FDGB in den drei Westsektoren gerichtlich aberkannt. Der hoffnungsvolle Beschluss von Bad-Pyrmont zur baldigen Einberufung eines Allgemeinen Deutschen Gewerkschaftskongress geriet in den Sog des Spaltungsprozess. Im August 1948 endete mit der Vertagung der 9. Interzonenkonferenz in Heidelberg wegen der Differenzen zur Spaltung des FDGB in Berlin, die im Sommer 1946 so hoffnungsvoll begonnene Zusammenarbeit der deutschen Gewerkschaftsbünde. Zu einer zehnten Konferenz kam es trotz Bemühungen des FDGB und des inzwischen auch gespaltenen internationalen Gewerkschaftsbundes nicht mehr.</w:t>
      </w:r>
    </w:p>
    <w:p w14:paraId="2C4B459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Der Gründungskongress des DGB im Oktober 1949 folgte zwar noch nicht dem Antrag der UGO als Landesbezirk in den DGB aufgenommen zu werden. Der UGO Vorsitzende Ernst </w:t>
      </w:r>
      <w:proofErr w:type="spellStart"/>
      <w:r w:rsidRPr="00F47AF2">
        <w:rPr>
          <w:rFonts w:eastAsiaTheme="minorHAnsi" w:cstheme="minorHAnsi"/>
          <w:sz w:val="28"/>
          <w:szCs w:val="28"/>
          <w:lang w:eastAsia="en-US"/>
        </w:rPr>
        <w:t>Scharnowski</w:t>
      </w:r>
      <w:proofErr w:type="spellEnd"/>
      <w:r w:rsidRPr="00F47AF2">
        <w:rPr>
          <w:rFonts w:eastAsiaTheme="minorHAnsi" w:cstheme="minorHAnsi"/>
          <w:sz w:val="28"/>
          <w:szCs w:val="28"/>
          <w:lang w:eastAsia="en-US"/>
        </w:rPr>
        <w:t xml:space="preserve"> sah darin ein Zurückweichen vor dem FDGB. Dann aber wurde in der ersten Nachkriegszeit im gespaltenen Deutschland die gewerkschaftliche Verständigungsampel fast übergangslos, von Grün auf Rot geschaltet. Ein Schelm, wer Vergleiche mit 1989 anstellt.</w:t>
      </w:r>
    </w:p>
    <w:p w14:paraId="5EB8F310"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Bis zur neuen Ostpolitik hielt der beziehungslose Zustand zwischen den beiden Gewerkschaftsbünden, trotz vielfältigster Angebote des FDGB, noch zwei Jahrzehnte an. Erst nach 1969/70 kam es zur schrittweisen Aufnahme von Beziehungen zwischen den Dachverbänden des DGB und FDGB und deren </w:t>
      </w:r>
      <w:r w:rsidRPr="00F47AF2">
        <w:rPr>
          <w:rFonts w:eastAsiaTheme="minorHAnsi" w:cstheme="minorHAnsi"/>
          <w:sz w:val="28"/>
          <w:szCs w:val="28"/>
          <w:lang w:eastAsia="en-US"/>
        </w:rPr>
        <w:lastRenderedPageBreak/>
        <w:t xml:space="preserve">Einzelgewerkschaften. Noch am 11. September 1989 hieß der DGB Vorsitzende Ernst Breit (1988-1990) seinen FDGB Kollegen Harry Tisch (1973-1989) zu seinem viertägigen Aufenthalt in der Bundesrepublik in Bonn herzlich willkommen. Die weitere Zusammenarbeit wurde geplant. </w:t>
      </w:r>
    </w:p>
    <w:p w14:paraId="7851A4C5" w14:textId="77777777"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sz w:val="28"/>
          <w:szCs w:val="28"/>
          <w:lang w:eastAsia="en-US"/>
        </w:rPr>
        <w:t xml:space="preserve">Was folgte war: </w:t>
      </w:r>
      <w:r w:rsidRPr="00F47AF2">
        <w:rPr>
          <w:rFonts w:eastAsiaTheme="minorHAnsi" w:cstheme="minorHAnsi"/>
          <w:b/>
          <w:bCs/>
          <w:sz w:val="28"/>
          <w:szCs w:val="28"/>
          <w:lang w:eastAsia="en-US"/>
        </w:rPr>
        <w:t>Ende des Tauwetters – Verteufelung des FDGB</w:t>
      </w:r>
    </w:p>
    <w:p w14:paraId="6F2B1259"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Gelegentlich ist zu hören, dass es im Führungspersonal des DGB erhebliche Meinungsverschiedenheiten bei der Bewertung der angespannten Lage in der DDR, der Konsequenzen und der herzlichen Begrüßung und Vereinbarungen mit Harry Tisch gegeben habe.</w:t>
      </w:r>
    </w:p>
    <w:p w14:paraId="626BD90A"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Dr. Wolfgang </w:t>
      </w:r>
      <w:proofErr w:type="spellStart"/>
      <w:r w:rsidRPr="00F47AF2">
        <w:rPr>
          <w:rFonts w:eastAsiaTheme="minorHAnsi" w:cstheme="minorHAnsi"/>
          <w:sz w:val="28"/>
          <w:szCs w:val="28"/>
          <w:lang w:eastAsia="en-US"/>
        </w:rPr>
        <w:t>Uellenberg</w:t>
      </w:r>
      <w:proofErr w:type="spellEnd"/>
      <w:r w:rsidRPr="00F47AF2">
        <w:rPr>
          <w:rFonts w:eastAsiaTheme="minorHAnsi" w:cstheme="minorHAnsi"/>
          <w:sz w:val="28"/>
          <w:szCs w:val="28"/>
          <w:lang w:eastAsia="en-US"/>
        </w:rPr>
        <w:t xml:space="preserve"> vom Bundesvorstand des DGB meinte 2015 in seinem Vortrag über die Gewerkschaften im deutschen Einheitsprozess auf einer Tagung der Hans-Böckler-Stiftung:</w:t>
      </w:r>
    </w:p>
    <w:p w14:paraId="5E724673" w14:textId="77777777" w:rsidR="00F47AF2" w:rsidRPr="00F47AF2" w:rsidRDefault="00F47AF2" w:rsidP="00F47AF2">
      <w:pPr>
        <w:spacing w:after="160" w:line="240" w:lineRule="auto"/>
        <w:rPr>
          <w:rFonts w:eastAsiaTheme="minorHAnsi" w:cstheme="minorHAnsi"/>
          <w:i/>
          <w:iCs/>
          <w:sz w:val="28"/>
          <w:szCs w:val="28"/>
          <w:lang w:eastAsia="en-US"/>
        </w:rPr>
      </w:pPr>
      <w:r w:rsidRPr="00F47AF2">
        <w:rPr>
          <w:rFonts w:eastAsiaTheme="minorHAnsi" w:cstheme="minorHAnsi"/>
          <w:i/>
          <w:iCs/>
          <w:sz w:val="28"/>
          <w:szCs w:val="28"/>
          <w:lang w:eastAsia="en-US"/>
        </w:rPr>
        <w:t>„Deutlich erkennbar war, dass der DGB Vorsitzende Ernst Breit den Besuch mehr aus Pflichtbewusstsein, denn aus innerer Überzeugung abwickelte, aber eine Alternative schien es nicht zu geben.“</w:t>
      </w:r>
    </w:p>
    <w:p w14:paraId="6105803E"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Fazit: Anstelle der zuvor geäußerten Kooperationsbereitschaft des DGB mit dem FDGB, begann die Forcierung der Autonomie-Bestrebungen in Einzelgewerkschaften im FDGB, zentral und in den Bezirken, um den Bundesvorstand des FDGB zu isolieren.</w:t>
      </w:r>
    </w:p>
    <w:p w14:paraId="2B15BBE4"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In der ersten Dezember-Hälfte 1989 endgültig mit der Führungsrolle der SED aufräumte, kam es zeitgleich zu ersten offiziellen Vereinbarungen der Einzelgewerkschaften IG Bergbau-Energie, IG Bau/Holz und IG Metall mit ihren Partner-Gewerkschaften im FDGB. Am 27.Februar 1990 gaben die IG Metall im DGB und im FDGB darüber hinaus eine gemeinsame Erklärung zur deutschen Einheit ab. Der Bundesausschuss des DGB, infolge der kritischen Mitgliedersituation und dem Bankrott der „Neuen Heimat“ arm im Haushalt, stellte dennoch am 7. März 1990 zwei Millionen DM für seine Präsenz im Osten zur Verfügung. Das geschah allerdings auch in der Annahme, dass durch die Überführung der FDGB Mitglieder in den DGB werden sich die Kassen wieder füllen.</w:t>
      </w:r>
    </w:p>
    <w:p w14:paraId="7BD5ECD8"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Zu dem Präsenz des DGB gehörte bereits im Frühjahr die Einrichtung von Kontakt- und Beraterbüros sowie eines Verbindungszentrum des DGB in der Hauptstadt der DDR. Noch fanden in Berlin zwei getrennte Mai- Kundgebungen statt. Aber Neugewählte Betriebsräte organisierten schon im Sommer 1990 die Aufnahme von Mitgliedern in die zuständige DGB-Gewerkschaft.</w:t>
      </w:r>
    </w:p>
    <w:p w14:paraId="58EC248F"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Franz Steinkühler, Vorsitzender der IG Metall ging der Zerfall des FDGB offenbar nicht schnell genug. Um ihn zu forcieren, schrieb er in seiner </w:t>
      </w:r>
      <w:r w:rsidRPr="00F47AF2">
        <w:rPr>
          <w:rFonts w:eastAsiaTheme="minorHAnsi" w:cstheme="minorHAnsi"/>
          <w:sz w:val="28"/>
          <w:szCs w:val="28"/>
          <w:lang w:eastAsia="en-US"/>
        </w:rPr>
        <w:lastRenderedPageBreak/>
        <w:t>Mitgliederzeitung Nr.3/1990, dass der FDGB Kongress vom 31. Januar bis 1. Februar 1990 ein erster Anfang gewesen sei, aber: „er (der Anfang) hat nicht überzeugt. Mit Wendehälsen lässt sich kein Vertrauen gewinnen.“ Das war allerdings auch keine Würdigung der „Reformer“ im FDGB. Steinkühler wollte die Wende zum Ende, um die Mitglieder des FDGB mit deren Mitgliedsbeiträgen zu übernehmen. Klaus Zwickel, Nachfolger von Steinkühler in der IG Metall bezeichnete 15 Jahre später in seiner 2005 erschienenen Biografie diese Hoffnung als Chance für ein „Wachstumspotential“:</w:t>
      </w:r>
    </w:p>
    <w:p w14:paraId="76437928"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„Für die etablierte Gewerkschaftsbewegung sollte die Einheit eine historische Chance werden, weil sie für die Gewerkschaftsbewegung ein bedeutendes Wachstumspotential bot“.</w:t>
      </w:r>
    </w:p>
    <w:p w14:paraId="158BF35D"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Stellt sich doch die die berechtigte Frage, wer oder was hat diese Chance zu Nichte gemacht? Das waren doch nicht die sogenannten Karteileichen des FDGB, sondern die im Auftrag der Regierung handelnde Treuhandanstalt mit ihrer Blitzsiegaktion durch Totalenteignung und kriminelle Handlungen.</w:t>
      </w:r>
    </w:p>
    <w:p w14:paraId="3503E5C4"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Steinkühler kannte besser als manch anderer in den Führungsetagen, dass es um die Kassenlage des DGB mies bestellt war. Hatte doch der Deutsche Gewerkschaftsbund einen Großteil seines Vermögens durch die Pleite des gewerkschaftseigenen größten westdeutschen Wohnungsbaukonzerns „Neue Heimat“ in den achtziger Jahren verloren. Steinkühler war als Vorsitzender der finanzstärksten Einzelgewerkschaft des DGB schließlich führendes Mitglied des Aufsichtsrates der „Neuen Heimat“.</w:t>
      </w:r>
    </w:p>
    <w:p w14:paraId="719265C5"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Aufschluss über die finanzielle Hypothek, mit der der DGB in die deutsche Einheit ging, erläutern im Jahr 2003 erschienenen Handbuch „Die Gewerkschaften in Politik und Gesellschaft der Bundesrepublik Deutschland“ (S. 133/134), Hans Peter Müller und Manfred Wilke: „Mit der finanziellen Hypothek aus den Beitragsrückgängen in den 80er Jahren und den Milliardenverlusten aus dem Neue Heimat Skandal, gingen die Gewerkschaften und der DGB in die deutsche Vereinigung: Letztere hatte zwar höhere Beitragseinnahmen zur Folge, jedoch auch den Aufbau kostspieliger Apparate. Obwohl die Organisationsgrade im Osten Deutschlands bedeutend höher lagen als im Westen, trug sich doch in keinem Fall der Gewerkschaftsapparat aus den Mitgliedsbeiträgen. Als dann im Zuge der wirtschaftlichen Restrukturierung       (Enteignung durch Privatisierung - Die Redaktion) die Beschäftigungszahl in den ehemaligen Kombinatsbetrieben einbrach, folgten drastische Mitglieder-rückgänge. „Selbst die große IG Metall geriet in den Strudel der Beitragserosion und schloss 1993 mit einem Defizit von 100 Millionen DM ab“.</w:t>
      </w:r>
    </w:p>
    <w:p w14:paraId="1857210B"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Angemerkt sei hier, dass noch heute der Betrugsskandal und die Pleite des gewerkschaftseigenen Unternehmens im DGB ein Tabu-Thema ist, </w:t>
      </w:r>
      <w:r w:rsidRPr="00F47AF2">
        <w:rPr>
          <w:rFonts w:eastAsiaTheme="minorHAnsi" w:cstheme="minorHAnsi"/>
          <w:sz w:val="28"/>
          <w:szCs w:val="28"/>
          <w:lang w:eastAsia="en-US"/>
        </w:rPr>
        <w:lastRenderedPageBreak/>
        <w:t>Stillschweigen wurde von Oben sowohl auf den Weg in die deutsche Einheit und Schweigen bis auf den heutigen Tag bewahrt.</w:t>
      </w:r>
    </w:p>
    <w:p w14:paraId="619B5AD1"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Selbst Klaus Zwickel, Mitstreiter und Nachfolger von Steinkühler verliert in seiner 2005 herausgegebenen Biografie kein Wort zu dieser Pleite.</w:t>
      </w:r>
    </w:p>
    <w:p w14:paraId="1FF7EA21"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Zur Ablenkung wurden umso mehr Betrugsfälle oder dazu gemachte Behauptungen in der Spitze des FDGB in die Welt gesetzt. Dem „Deutschlandradio.de blieb es am 2. Juni 2011 vorbehalten, an den 25 Jahre zuvor gebildeten Untersuchungsausschuss zur gewerkschaftseigenen „Neuen Heimat“ unter der sozialkritischen Überschrift zu erinnern: „Eigennutz geht vor Gemeinnutz“.</w:t>
      </w:r>
    </w:p>
    <w:p w14:paraId="04DDC48A" w14:textId="77777777" w:rsidR="00F47AF2" w:rsidRPr="00F47AF2" w:rsidRDefault="00F47AF2" w:rsidP="00F47AF2">
      <w:pPr>
        <w:spacing w:after="160" w:line="240" w:lineRule="auto"/>
        <w:rPr>
          <w:rFonts w:eastAsiaTheme="minorHAnsi" w:cstheme="minorHAnsi"/>
          <w:sz w:val="28"/>
          <w:szCs w:val="28"/>
          <w:lang w:eastAsia="en-US"/>
        </w:rPr>
      </w:pPr>
    </w:p>
    <w:p w14:paraId="4AC99FB9" w14:textId="77777777"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Mai 1990 - Alternativloser 14. Bundeskongress des Deutschen Gewerkschaftsbundes</w:t>
      </w:r>
    </w:p>
    <w:p w14:paraId="340161E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Der 14. Ordentliche Gewerkschaftskongress des DGB bekräftigte im Mai 1990 endgültig die Anpassung an die schwarze Regierungspolitik zur Deutschen Einheit. Sein höchstes Organ, der 14. Ordentliche Bundeskongress des DGB, erklärte am 22. Mai 1990,  „…das Ziel, die deutsche Einheit zügig zu verwirklichen“ und eine einheitliche Gesellschaftsordnung für ganz Deutschland zu schaffen.</w:t>
      </w:r>
    </w:p>
    <w:p w14:paraId="34150799"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Der DGB erwarte daher von der Bundesregierung, ihn mit seinen Gewerkschaften „…in die Planung und Umsetzung der wirtschaftlichen und sozialen Einheit einzubeziehen“.</w:t>
      </w:r>
    </w:p>
    <w:p w14:paraId="25D15306"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Von der Ausschöpfung der Möglichkeiten des Grundgesetzes zur Schaffung gemeinwirtschaftlicher Strukturen für eine soziale Transformation, zu der auch die ursprünglich vorgesehene Ablösung des provisorischen Grundgesetzes aus dem Jahre 1949 durch eine Verfassung für das vereinigte Deutschland Grundlage hätte sein können, wurde verzichtet. Wie die Praxis aussah, zeigte die gewerkschaftliche Mitgliederentwicklung.</w:t>
      </w:r>
    </w:p>
    <w:p w14:paraId="6A6AC9DF"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Da Ernst Breit auf eine erneute Kandidatur verzichtete, wurde Heinz-Werner-Meyer, bisheriger Vorsitzender der Industriegewerkschaft Bergbau Energie gewählt. Allerdings nur mit 64 % der stimmberechtigten Delegierten. Mit nicht einmal zwei Drittel der Stimmen. Das war das schlechteste Wahlergebnis, mit dem ein DGB Vorsitzender seit 1949 sein Amt antrat. Angebliche Verstrickung mit dem Neue Heimat Skandal sollen dafür die Ursache gewesen sein. Kein gutes Omen für den Einstieg in die deutsche Einheit.</w:t>
      </w:r>
    </w:p>
    <w:p w14:paraId="1DCF4ECC" w14:textId="77777777" w:rsidR="00F47AF2" w:rsidRPr="00F47AF2" w:rsidRDefault="00F47AF2" w:rsidP="00F47AF2">
      <w:pPr>
        <w:spacing w:after="160" w:line="240" w:lineRule="auto"/>
        <w:jc w:val="center"/>
        <w:rPr>
          <w:rFonts w:eastAsiaTheme="minorHAnsi" w:cstheme="minorHAnsi"/>
          <w:sz w:val="28"/>
          <w:szCs w:val="28"/>
          <w:lang w:eastAsia="en-US"/>
        </w:rPr>
      </w:pPr>
    </w:p>
    <w:p w14:paraId="350EB955" w14:textId="77777777" w:rsidR="00F47AF2" w:rsidRPr="00F47AF2" w:rsidRDefault="00F47AF2" w:rsidP="00F47AF2">
      <w:pPr>
        <w:spacing w:after="160" w:line="240" w:lineRule="auto"/>
        <w:rPr>
          <w:rFonts w:eastAsiaTheme="minorHAnsi" w:cstheme="minorHAnsi"/>
          <w:b/>
          <w:bCs/>
          <w:sz w:val="28"/>
          <w:szCs w:val="28"/>
          <w:lang w:eastAsia="en-US"/>
        </w:rPr>
      </w:pPr>
    </w:p>
    <w:p w14:paraId="10E8C7D3" w14:textId="77777777" w:rsidR="00F47AF2" w:rsidRPr="00F47AF2" w:rsidRDefault="00F47AF2" w:rsidP="00F47AF2">
      <w:pPr>
        <w:spacing w:after="160" w:line="240" w:lineRule="auto"/>
        <w:rPr>
          <w:rFonts w:eastAsiaTheme="minorHAnsi" w:cstheme="minorHAnsi"/>
          <w:b/>
          <w:bCs/>
          <w:sz w:val="32"/>
          <w:szCs w:val="32"/>
          <w:lang w:eastAsia="en-US"/>
        </w:rPr>
      </w:pPr>
      <w:r w:rsidRPr="00F47AF2">
        <w:rPr>
          <w:rFonts w:eastAsiaTheme="minorHAnsi" w:cstheme="minorHAnsi"/>
          <w:b/>
          <w:bCs/>
          <w:sz w:val="32"/>
          <w:szCs w:val="32"/>
          <w:lang w:eastAsia="en-US"/>
        </w:rPr>
        <w:t>Am Anfang standen die D-Mark und Kohls „Blühende Landschaften“</w:t>
      </w:r>
    </w:p>
    <w:p w14:paraId="4D46AA3D"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Am 1. Juli 1990 ging Bundeskanzler Helmut Kohl anlässlich des Inkrafttretens der Staatsverträge über die Währungs-, Wirtschafts- und Sozialunion mit  keinem Wort auf den jüngsten DGB Kongress ein, er ließ ihn links liegen.  Angesichts der, wie sich erwies, allzu berechtigten Befürchtungen des DGB über eine bevorstehende Massenarbeitslosigkeit erhielten seine Mitbestimmungsforderungen ein besonderes Gewicht. Kohl und seine CDU sahen sich aber als Heilsbringer der Neuzeit. Nur diese Union böte die Chance und die Gewähr, „… dass sich die Lebensbedingungen rasch und durchgreifend bessern. Durch eine gemeinsame Anstrengung wird es uns gelingen, Mecklenburg-Vorpommern und Sachsen-Anhalt, Brandenburg, Sachsen und Thüringen schon bald wieder in blühende Landschaften zu verwandeln, in denen es sich zu leben und zu arbeiten lohnt“.</w:t>
      </w:r>
    </w:p>
    <w:p w14:paraId="2AFDD608"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Anstelle einer sozialen Transformation erfolgte die Einführung der </w:t>
      </w:r>
      <w:proofErr w:type="spellStart"/>
      <w:r w:rsidRPr="00F47AF2">
        <w:rPr>
          <w:rFonts w:eastAsiaTheme="minorHAnsi" w:cstheme="minorHAnsi"/>
          <w:sz w:val="28"/>
          <w:szCs w:val="28"/>
          <w:lang w:eastAsia="en-US"/>
        </w:rPr>
        <w:t>kapita-listischen</w:t>
      </w:r>
      <w:proofErr w:type="spellEnd"/>
      <w:r w:rsidRPr="00F47AF2">
        <w:rPr>
          <w:rFonts w:eastAsiaTheme="minorHAnsi" w:cstheme="minorHAnsi"/>
          <w:sz w:val="28"/>
          <w:szCs w:val="28"/>
          <w:lang w:eastAsia="en-US"/>
        </w:rPr>
        <w:t xml:space="preserve"> Ordnung der Bundesrepublik, ein restaurativer Systemwechsel: </w:t>
      </w:r>
      <w:r w:rsidRPr="00F47AF2">
        <w:rPr>
          <w:rFonts w:ascii="Calibri" w:eastAsiaTheme="minorHAnsi" w:hAnsi="Calibri" w:cs="Calibri"/>
          <w:color w:val="000000"/>
          <w:sz w:val="28"/>
          <w:szCs w:val="28"/>
          <w:lang w:eastAsia="en-US"/>
        </w:rPr>
        <w:t>Die Zerschlagung der volkseigenen Wirtschaft hat 30 Jahre danach kaum noch Folgen, die vorstellbar sind.</w:t>
      </w:r>
      <w:r w:rsidRPr="00F47AF2">
        <w:rPr>
          <w:rFonts w:eastAsiaTheme="minorHAnsi" w:cstheme="minorHAnsi"/>
          <w:sz w:val="28"/>
          <w:szCs w:val="28"/>
          <w:lang w:eastAsia="en-US"/>
        </w:rPr>
        <w:t xml:space="preserve"> Nach vier Jahren wird 1994 die Treuhandanstalt geschlossen.</w:t>
      </w:r>
    </w:p>
    <w:p w14:paraId="6708ABA6"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Ihre Bilanz: Stefan Heym notiert: „Das Volk kann sein Eigentum in den Rauchfang schreiben. Fazit: Bisherige Lebensgrundlagen wurden in einem kaum überschaubaren Umfang vernichtet. Viele Familien gerieten ins Straucheln und leben noch immer in sozialer Unsicherheit. Besonders nachteilig erwies sich auch das Kappen von traditionellen Verkehrsverbindungen in ländlichen Regionen. Schöne ICE Züge konnten keinen Ersatz bilden. Ein Glück, dass der Verbund teilweise geflickt werden konnte durch Regionalzüge zu regionalen Zentren. Viele Fachkräfte und junge Menschen verließen die neuen Bundesländer. Kritische Einwände stießen auf taube Ohren.</w:t>
      </w:r>
    </w:p>
    <w:p w14:paraId="52ADE8BA"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So wurden die Wünsche und Hoffnungen vieler Menschen ignoriert, auf den kleinen Mann wurde nicht gehört, selbst dort nicht, wo aktiver Widerstand geleistet wurde. So wurden Hoffnungen vieler Menschen zerstört und gezwungen, in den Bahnen des Geldes zu denken. Die Politik erfuhr einen nicht mehr zu übersehenden Vertrauensschwund. Besonders zu spüren bekamen das im letzten Jahrzehnt die bisherigen Volksparteien CDU und besonders die SPD. Die AfD profitierte auch von deren Fehlern. „Aufbruch für Deutschland“ hatten die Wähler schon von Kohls Partei bei der letzten Volkskammerwahl am          18. März 1989 gehört.</w:t>
      </w:r>
    </w:p>
    <w:p w14:paraId="74C61736" w14:textId="77777777" w:rsidR="00F47AF2" w:rsidRPr="00F47AF2" w:rsidRDefault="00F47AF2" w:rsidP="00F47AF2">
      <w:pPr>
        <w:spacing w:after="160" w:line="240" w:lineRule="auto"/>
        <w:rPr>
          <w:rFonts w:eastAsiaTheme="minorHAnsi" w:cstheme="minorHAnsi"/>
          <w:sz w:val="28"/>
          <w:szCs w:val="28"/>
          <w:lang w:eastAsia="en-US"/>
        </w:rPr>
      </w:pPr>
    </w:p>
    <w:p w14:paraId="6E75652E" w14:textId="77777777" w:rsidR="00F47AF2" w:rsidRPr="00F47AF2" w:rsidRDefault="00F47AF2" w:rsidP="00F47AF2">
      <w:pPr>
        <w:spacing w:after="160" w:line="240" w:lineRule="auto"/>
        <w:rPr>
          <w:rFonts w:eastAsiaTheme="minorHAnsi" w:cstheme="minorHAnsi"/>
          <w:sz w:val="28"/>
          <w:szCs w:val="28"/>
          <w:lang w:eastAsia="en-US"/>
        </w:rPr>
      </w:pPr>
    </w:p>
    <w:p w14:paraId="28B78B93" w14:textId="72C2ADF6"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1990 - Zum Beginn des Kampfes gegen Massenarbeitslosigkeit, für Lohnangleichung und kürzere Arbeitszeit unter neuen Bedingungen</w:t>
      </w:r>
    </w:p>
    <w:p w14:paraId="2472559B" w14:textId="3198AEC7"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Gegenwehr durch gewerkschaftlichen und basisdemokratischen Widerstand begleitet</w:t>
      </w:r>
    </w:p>
    <w:p w14:paraId="514ACE8F"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Sie waren von der Verteidigung der Arbeitsplätze und dem täglichen Kleinkrieg in und außerhalb der Betriebe gekennzeichnet. Ehemalige FDGB-Mitglieder, die „die Flinte nicht ins Korn geworfen haben“, nahmen ab 1990, vor allem ehrenamtlich im Interesse ihrer Kolleginnen und Kollegen am Aufbau der DGB Gewerkschaftsstrukturen teil. Dies wurde erleichtert durch die Anerkennung der Dauer der bisherigen Mitgliedschaft im FDGB.</w:t>
      </w:r>
    </w:p>
    <w:p w14:paraId="3DE32714"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Der Systemwechsel hat neue politische Widersprüche und bisher nicht gekannte soziale Gegensätze gezeugt. Die ökonomische Analyse der kapitalistischen Gesellschaft gewann wieder an Bedeutung. Unübersehbar hat sich die Gesellschaft in den neuen Bundesländern, als Teil der bürgerlich kapitalistischen Gesellschaft der alten Bundesländer verwandelt. Monopolkapital herrscht dort wie hier. Die Analyse der kapitalistischen Ökonomie von Karl Marx hat wieder an Bedeutung gewonnen. Nicht wenige denken aber auch an die kollegialen Beziehungen in der DDR zurück.</w:t>
      </w:r>
    </w:p>
    <w:p w14:paraId="4E5F1005"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 Schon vor der Treuhandzeit, im Juni 1990 brachten Beauftragte der Gewerkschaft HBV ihre kampf-Erfahrungen in gemeinsam organisierten Aktionen mit den Kollegen des FDGB gegen den Warenhaus-Konzern Karstadt ein.</w:t>
      </w:r>
    </w:p>
    <w:p w14:paraId="2FF65CEB"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Wie aus der Berliner Chronik der Gewerkschaft HBV weiter zu erfahren ist, besetzten am 11. Juli 1990 mehrere 1.000 Beschäftigte des bisher staatlichen Außenhandels nach einer Protestdemonstration unbefristet das Wirtschaftsministerium in der Straße Unter den Linden. Zwei Tage später, am 13. Juli, beteiligten sich etwa 10.000 Beschäftigte aus HO und Konsum in Ostberlin an den Aktionen gegen das eine Woche zuvor von der Regierung de Maiziere in der Volkskammer eingebrachte Gesetz zur „Entflechtung des Handels“. Sprecher der Gewerkschaften kritisierten die „Zwangsprivatisierung“ und den „Ausverkauf“.</w:t>
      </w:r>
    </w:p>
    <w:p w14:paraId="195779B1"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1993, noch vor dem Ende der Treuhand, kündigte der Zentralverband der Metallunternehmer rechtswidrig die bestehenden Tarifverträge. Die begrenzten Stufenverträge zur Lohnanpassung von 1991 sollten wieder zur Senkung der Löhne zu Fall gebracht werden. Eine Provokation erster Ordnung, die einen Bruch der im März 1990 bekräftigten Sozialpartnerschaft. Die IG Metall reagierte, wie es von ihr erwartet wurde und war erfolgreich. Die </w:t>
      </w:r>
      <w:r w:rsidRPr="00F47AF2">
        <w:rPr>
          <w:rFonts w:eastAsiaTheme="minorHAnsi" w:cstheme="minorHAnsi"/>
          <w:sz w:val="28"/>
          <w:szCs w:val="28"/>
          <w:lang w:eastAsia="en-US"/>
        </w:rPr>
        <w:lastRenderedPageBreak/>
        <w:t>Warnstreiks zogen sich allerdings über die Monate März und April 1993 hin. Sie hat dadurch größere soziale Erschütterungen vermieden und dadurch auch den Einstieg in die deutsche Einheit vor größeren Schaden bewahrt.</w:t>
      </w:r>
    </w:p>
    <w:p w14:paraId="4BE4385E" w14:textId="77777777" w:rsidR="00F47AF2" w:rsidRPr="00F47AF2" w:rsidRDefault="00F47AF2" w:rsidP="00F47AF2">
      <w:pPr>
        <w:spacing w:after="160" w:line="240" w:lineRule="auto"/>
        <w:rPr>
          <w:rFonts w:eastAsiaTheme="minorHAnsi" w:cstheme="minorHAnsi"/>
          <w:i/>
          <w:iCs/>
          <w:sz w:val="28"/>
          <w:szCs w:val="28"/>
          <w:lang w:eastAsia="en-US"/>
        </w:rPr>
      </w:pPr>
      <w:r w:rsidRPr="00F47AF2">
        <w:rPr>
          <w:rFonts w:eastAsiaTheme="minorHAnsi" w:cstheme="minorHAnsi"/>
          <w:sz w:val="28"/>
          <w:szCs w:val="28"/>
          <w:lang w:eastAsia="en-US"/>
        </w:rPr>
        <w:t>Anders war die Situation in der zwei Jahre später der Kampf um die 35 Stunden Woche verlaufen. Im Kampf gegen die Massenarbeitslosigkeit unterbreitete die IG Metall dem Sozialpartner den Vorschlag für ein bundesweites “Bündnis für Arbeit“ gegen die Massenarbeitslosigkeit. Das Kapital sah darin aber eine Zügelung seiner Begierden und forderte, den Bundeskanzler Kohl im Rücken, das abzubrechen. Der 1995 anschließende Versuch durch Einführung der 35 Stunden Woche bei vollem Lohnausgleich in den neuen Bundesländern der Massenarbeits-losigkeit beizukommen, scheiterte. Nach zweimonatigem Arbeitskampf musste die IG Metall den Streik abbrechen. Darüber schrieb Klaus Zwickel in seiner Autobiographie:</w:t>
      </w:r>
      <w:r w:rsidRPr="00F47AF2">
        <w:rPr>
          <w:rFonts w:eastAsiaTheme="minorHAnsi" w:cstheme="minorHAnsi"/>
          <w:i/>
          <w:iCs/>
          <w:sz w:val="28"/>
          <w:szCs w:val="28"/>
          <w:lang w:eastAsia="en-US"/>
        </w:rPr>
        <w:t xml:space="preserve"> Ein derartiger Streikabbruch ohne Ergebnis war für die IG Metall ein einmaliger Vorgang und eine herbe Niederlage zugleich…Es ging nun darum die Scherben aufzusammeln, zu kitten und Schlussvollgerungen aus dieser unsäglichen Niederlage zu ziehen, was vor allem die Einschätzung der wirtschaftlichen und politischen Rahmenbedingungen bedeutete“.</w:t>
      </w:r>
    </w:p>
    <w:p w14:paraId="0D53496A"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Natürlich wollten die ostdeutschen Metallarbeiter eine kürzere Arbeitszeit, aber sie wurden mürbe und Streikmüde gemacht durch das Kapital und einem entsprechenden Medienecho. Vor allem in der Autoindustrie drohten die Unternehmer mit Entlassungen durch Verlagerung von Betriebsteilen in sogenannte Billiglohnländer andere mit Arbeitsplätzen einsparenden Rationalisierungsmaßnahmen.</w:t>
      </w:r>
    </w:p>
    <w:p w14:paraId="4F342420" w14:textId="77777777" w:rsidR="00F47AF2" w:rsidRPr="00F47AF2" w:rsidRDefault="00F47AF2" w:rsidP="00F47AF2">
      <w:pPr>
        <w:spacing w:after="160" w:line="240" w:lineRule="auto"/>
        <w:rPr>
          <w:rFonts w:eastAsiaTheme="minorHAnsi" w:cstheme="minorHAnsi"/>
          <w:sz w:val="28"/>
          <w:szCs w:val="28"/>
          <w:lang w:eastAsia="en-US"/>
        </w:rPr>
      </w:pPr>
    </w:p>
    <w:p w14:paraId="1E5AB771" w14:textId="4975DE3C"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Gegenwehr durch gewerkschaftlichen und basisdemokratischen Widerstand</w:t>
      </w:r>
    </w:p>
    <w:p w14:paraId="193C3F66"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Symbole des Widerstandes gegen den „Herrn im Hause Standpunkt“ der Treuhandanstalt bleiben der Kampf der Kalikumpel von Bischofferode und der Belegschaft der Batterie- Fabrik im Berliner Bezirk Köpenick, Ortsteil Oberspree um den Erhalt ihrer Arbeitsplätze.</w:t>
      </w:r>
    </w:p>
    <w:p w14:paraId="3758DB4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Aus den vielen Zeitzeugen Berichten greifen wir den vom Westberliner Kollegen Fritz Teppich, dem Berliner Landesvorstand der Gewerkschaft HBV im DGB angehörend, heraus. Er nahm 23 Tage am Hungerstreik der Kali-Kumpel teil und sorgte für eine entsprechende Auswertung unter anderem durch eine Solidaritätsveranstaltung, im Wilhelm-Leuschner-Saal, im Landesbezirk des DGB, auf der er unter dem Motto „Bischofferode ist überall“ berichtete.</w:t>
      </w:r>
    </w:p>
    <w:p w14:paraId="66E05D7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lastRenderedPageBreak/>
        <w:t>In seiner Autobiographie „Der Rote Pfadfinder, der abenteuerliche Weg eines Berliner Juden durch das 20. Jahrhundert“, gibt der Kollege Teppich folgenden aufschlussreichen Einblick in die Situation:</w:t>
      </w:r>
    </w:p>
    <w:p w14:paraId="486DE2E3" w14:textId="77777777" w:rsidR="00F47AF2" w:rsidRPr="00F47AF2" w:rsidRDefault="00F47AF2" w:rsidP="00F47AF2">
      <w:pPr>
        <w:spacing w:after="160" w:line="240" w:lineRule="auto"/>
        <w:rPr>
          <w:rFonts w:eastAsiaTheme="minorHAnsi" w:cstheme="minorHAnsi"/>
          <w:i/>
          <w:iCs/>
          <w:sz w:val="28"/>
          <w:szCs w:val="28"/>
          <w:lang w:eastAsia="en-US"/>
        </w:rPr>
      </w:pPr>
      <w:r w:rsidRPr="00F47AF2">
        <w:rPr>
          <w:rFonts w:eastAsiaTheme="minorHAnsi" w:cstheme="minorHAnsi"/>
          <w:i/>
          <w:iCs/>
          <w:sz w:val="28"/>
          <w:szCs w:val="28"/>
          <w:lang w:eastAsia="en-US"/>
        </w:rPr>
        <w:t>„in dieser Niederlagenzeit war es im fernen thüringischen Bischofferode zu einer Explosion gekommen.  … Das Kali-Werk mit bestem Rohstoff sollte geschlossen werden. Es war dem im Westen residierenden Konzern als Konkurrenz ein Dorn im Auge. Also nach Kolonialherren Art Schließung verfügt. In Bischofferode, eigentlich eine Hochburg der CDU begann es zu brodeln. Die zum Teil katholischen oder evangelisch gläubigen Kumpels und ihre Frauen riefen zum Ausstand und der wurde rüstig befolgt. Als das nicht zur Rücknahme der Anordnung führte, jäh ein Kopfsprung nach vorn. Hungerstreik wurde ausgerufen. Männer und Frauen machten mit. Erschöpfte wurden von neu Hinzugekommenen abgelöst.  …In dieser Situation setzte sich Heinz Berger vom DGB für die von der Konzernseite verfügte Werkschließung ein. Das müsse zum Wohle der Kollegen im Alt-Bundesland Hessen geschehen. Mit diesem Vorstoß fiel der hochgestellte Mann den Parteien den kämpfenden in den Rücken. Aus seiner Sicht eine Schande.  … Als einzige unter den Parteien sparten die demokratischen Sozialisten nicht mit Solidaritätsbeweisen. Sie entsandten sogar mehrmals ihren Spitzenmann Gregor Gysi. …Die Kalikumpel entschlossen sich zu einem Hungermarsch nach Berlin…“</w:t>
      </w:r>
    </w:p>
    <w:p w14:paraId="3AA5FDB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sz w:val="28"/>
          <w:szCs w:val="28"/>
          <w:lang w:eastAsia="en-US"/>
        </w:rPr>
        <w:t xml:space="preserve">Wer kannte Käthe Reichel nicht, die berühmte Schauspielerin vom Brecht-Theater „Berliner Ensemble? Von ihr erreichte am 22 August 1993 die damalige Präsidentin der Treuhanggesellschaft, Birgit </w:t>
      </w:r>
      <w:proofErr w:type="spellStart"/>
      <w:r w:rsidRPr="00F47AF2">
        <w:rPr>
          <w:rFonts w:eastAsiaTheme="minorHAnsi" w:cstheme="minorHAnsi"/>
          <w:sz w:val="28"/>
          <w:szCs w:val="28"/>
          <w:lang w:eastAsia="en-US"/>
        </w:rPr>
        <w:t>Breul</w:t>
      </w:r>
      <w:proofErr w:type="spellEnd"/>
      <w:r w:rsidRPr="00F47AF2">
        <w:rPr>
          <w:rFonts w:eastAsiaTheme="minorHAnsi" w:cstheme="minorHAnsi"/>
          <w:sz w:val="28"/>
          <w:szCs w:val="28"/>
          <w:lang w:eastAsia="en-US"/>
        </w:rPr>
        <w:t>, einen längeren, zu Herzen gehenden Brief, den sie als Teilnehmerin am Hungerstreik aus dem inzwischen abgewickelten Kali-Schacht schrieb:</w:t>
      </w:r>
    </w:p>
    <w:p w14:paraId="0D0290B3" w14:textId="77777777" w:rsidR="00F47AF2" w:rsidRPr="00F47AF2" w:rsidRDefault="00F47AF2" w:rsidP="00F47AF2">
      <w:pPr>
        <w:spacing w:after="160" w:line="240" w:lineRule="auto"/>
        <w:rPr>
          <w:rFonts w:eastAsiaTheme="minorHAnsi" w:cstheme="minorHAnsi"/>
          <w:sz w:val="28"/>
          <w:szCs w:val="28"/>
          <w:lang w:eastAsia="en-US"/>
        </w:rPr>
      </w:pPr>
      <w:r w:rsidRPr="00F47AF2">
        <w:rPr>
          <w:rFonts w:eastAsiaTheme="minorHAnsi" w:cstheme="minorHAnsi"/>
          <w:i/>
          <w:iCs/>
          <w:sz w:val="28"/>
          <w:szCs w:val="28"/>
          <w:lang w:eastAsia="en-US"/>
        </w:rPr>
        <w:t xml:space="preserve">„…drei Jahre lang haben sie jeden Tag Stacheldraht um Millionen Arbeitsplätze geknüpft.  Hängen sie den Job an den Nagel, Frau </w:t>
      </w:r>
      <w:proofErr w:type="spellStart"/>
      <w:r w:rsidRPr="00F47AF2">
        <w:rPr>
          <w:rFonts w:eastAsiaTheme="minorHAnsi" w:cstheme="minorHAnsi"/>
          <w:i/>
          <w:iCs/>
          <w:sz w:val="28"/>
          <w:szCs w:val="28"/>
          <w:lang w:eastAsia="en-US"/>
        </w:rPr>
        <w:t>Breul</w:t>
      </w:r>
      <w:proofErr w:type="spellEnd"/>
      <w:r w:rsidRPr="00F47AF2">
        <w:rPr>
          <w:rFonts w:eastAsiaTheme="minorHAnsi" w:cstheme="minorHAnsi"/>
          <w:i/>
          <w:iCs/>
          <w:sz w:val="28"/>
          <w:szCs w:val="28"/>
          <w:lang w:eastAsia="en-US"/>
        </w:rPr>
        <w:t>. Zu viele haben sich schon an diesem Nagel aufgehängt. Ich erinnere Sie an Detlef Dalk. Bevor seien Füße den Stuhl wegschleuderten, schrieb er: „Alle anderen Wege des Wachrüttelns bin ich gegangen“.</w:t>
      </w:r>
      <w:r w:rsidRPr="00F47AF2">
        <w:rPr>
          <w:rFonts w:eastAsiaTheme="minorHAnsi" w:cstheme="minorHAnsi"/>
          <w:sz w:val="28"/>
          <w:szCs w:val="28"/>
          <w:lang w:eastAsia="en-US"/>
        </w:rPr>
        <w:t xml:space="preserve"> Das war der 4. März 1992. An diesem Tag erhängte er sich. In der Schrift „wie wir verhökert wurden“, ist zu lesen, wie sich Frau Reichel im folgenden Briefwechsel mit der Legendenbildung über das Ende der DDR von Birgit </w:t>
      </w:r>
      <w:proofErr w:type="spellStart"/>
      <w:r w:rsidRPr="00F47AF2">
        <w:rPr>
          <w:rFonts w:eastAsiaTheme="minorHAnsi" w:cstheme="minorHAnsi"/>
          <w:sz w:val="28"/>
          <w:szCs w:val="28"/>
          <w:lang w:eastAsia="en-US"/>
        </w:rPr>
        <w:t>Breul</w:t>
      </w:r>
      <w:proofErr w:type="spellEnd"/>
      <w:r w:rsidRPr="00F47AF2">
        <w:rPr>
          <w:rFonts w:eastAsiaTheme="minorHAnsi" w:cstheme="minorHAnsi"/>
          <w:sz w:val="28"/>
          <w:szCs w:val="28"/>
          <w:lang w:eastAsia="en-US"/>
        </w:rPr>
        <w:t xml:space="preserve"> im Chor mit Helmut Kohl, Wolfgang Schäuble, Graf von Lambsdorff und Klaus Kinkel auseinandersetzte. Lügen haben aber nicht nur kurze Beine.</w:t>
      </w:r>
    </w:p>
    <w:p w14:paraId="3675E03F" w14:textId="49DB8AC0" w:rsidR="00F47AF2" w:rsidRPr="00F47AF2" w:rsidRDefault="00F47AF2" w:rsidP="00F47AF2">
      <w:pPr>
        <w:spacing w:after="160" w:line="240" w:lineRule="auto"/>
        <w:rPr>
          <w:rFonts w:eastAsiaTheme="minorHAnsi" w:cstheme="minorHAnsi"/>
          <w:b/>
          <w:bCs/>
          <w:sz w:val="28"/>
          <w:szCs w:val="28"/>
          <w:lang w:eastAsia="en-US"/>
        </w:rPr>
      </w:pPr>
      <w:r w:rsidRPr="00F47AF2">
        <w:rPr>
          <w:rFonts w:eastAsiaTheme="minorHAnsi" w:cstheme="minorHAnsi"/>
          <w:b/>
          <w:bCs/>
          <w:sz w:val="28"/>
          <w:szCs w:val="28"/>
          <w:lang w:eastAsia="en-US"/>
        </w:rPr>
        <w:t>Zum Ende des Einstiegs in die deutsche Einheit</w:t>
      </w:r>
    </w:p>
    <w:p w14:paraId="632893B9" w14:textId="77777777" w:rsidR="00F47AF2" w:rsidRPr="00F47AF2" w:rsidRDefault="00F47AF2" w:rsidP="00F47AF2">
      <w:pPr>
        <w:numPr>
          <w:ilvl w:val="0"/>
          <w:numId w:val="4"/>
        </w:numPr>
        <w:spacing w:after="160" w:line="240" w:lineRule="auto"/>
        <w:contextualSpacing/>
        <w:rPr>
          <w:rFonts w:eastAsiaTheme="minorHAnsi" w:cstheme="minorHAnsi"/>
          <w:sz w:val="28"/>
          <w:szCs w:val="28"/>
          <w:lang w:eastAsia="en-US"/>
        </w:rPr>
      </w:pPr>
      <w:r w:rsidRPr="00F47AF2">
        <w:rPr>
          <w:rFonts w:eastAsiaTheme="minorHAnsi" w:cstheme="minorHAnsi"/>
          <w:sz w:val="28"/>
          <w:szCs w:val="28"/>
          <w:lang w:eastAsia="en-US"/>
        </w:rPr>
        <w:t xml:space="preserve">Aus unserer Sicht endet der Einstieg des DGB in die Deutsche Einheit 1994/95 auch deshalb, weil die Treuhand Anstalt ihr Werk, Zerstörung und Privatisierung der Volkswirtschaft der DDR betrieb. Frei nach Kaiser </w:t>
      </w:r>
      <w:r w:rsidRPr="00F47AF2">
        <w:rPr>
          <w:rFonts w:eastAsiaTheme="minorHAnsi" w:cstheme="minorHAnsi"/>
          <w:sz w:val="28"/>
          <w:szCs w:val="28"/>
          <w:lang w:eastAsia="en-US"/>
        </w:rPr>
        <w:lastRenderedPageBreak/>
        <w:t>Wilhelm II. in seiner Hunnenrede vor deutschen Kolonialsoldaten „Pardon wird nicht gegeben: Auch Hundehütten wären privatisiert worden, wenn sie verstaatlicht gewesen wären.</w:t>
      </w:r>
    </w:p>
    <w:p w14:paraId="26B7FAF2" w14:textId="3F9586F7" w:rsidR="00F47AF2" w:rsidRPr="000D1BAE" w:rsidRDefault="00F47AF2" w:rsidP="000D1BAE">
      <w:pPr>
        <w:pStyle w:val="Listenabsatz"/>
        <w:numPr>
          <w:ilvl w:val="0"/>
          <w:numId w:val="5"/>
        </w:numPr>
        <w:tabs>
          <w:tab w:val="left" w:pos="426"/>
        </w:tabs>
        <w:spacing w:after="160" w:line="240" w:lineRule="auto"/>
        <w:rPr>
          <w:rFonts w:eastAsiaTheme="minorHAnsi" w:cstheme="minorHAnsi"/>
          <w:sz w:val="28"/>
          <w:szCs w:val="28"/>
          <w:lang w:eastAsia="en-US"/>
        </w:rPr>
      </w:pPr>
      <w:r w:rsidRPr="000D1BAE">
        <w:rPr>
          <w:rFonts w:eastAsiaTheme="minorHAnsi" w:cstheme="minorHAnsi"/>
          <w:sz w:val="28"/>
          <w:szCs w:val="28"/>
          <w:lang w:eastAsia="en-US"/>
        </w:rPr>
        <w:t>„</w:t>
      </w:r>
      <w:r w:rsidRPr="000D1BAE">
        <w:rPr>
          <w:rFonts w:eastAsiaTheme="minorHAnsi" w:cstheme="minorHAnsi"/>
          <w:b/>
          <w:bCs/>
          <w:sz w:val="28"/>
          <w:szCs w:val="28"/>
          <w:lang w:eastAsia="en-US"/>
        </w:rPr>
        <w:t>Blühende Gärten“ -</w:t>
      </w:r>
      <w:r w:rsidRPr="000D1BAE">
        <w:rPr>
          <w:rFonts w:eastAsiaTheme="minorHAnsi" w:cstheme="minorHAnsi"/>
          <w:sz w:val="28"/>
          <w:szCs w:val="28"/>
          <w:lang w:eastAsia="en-US"/>
        </w:rPr>
        <w:t xml:space="preserve"> In ihrer Juli-Ausgabe 2016 „100 Jahre IG Metall“ wird berichtet, dass es auch Glückskinder gab. Aber nicht jeder hat so viel Glück wie der vorgestellte Kollege Jens Rothe. Dann kommts: „1990 verspricht Kanzler Helmut Kohl den Ostdeutschen „blühende Landschaften“, eine Zukunft in Wohlstand. Doch das Gegenteil tritt ein. Während die westdeutsche Wirtschaft dank der neuen Absatzmärkte, eine Sonderkonjunktur erlebt, bricht die Ostdeutsche nach Übernahme der       D-Mark, die einer Aufwertung von 450 % gleichkommt, zusammen“. Vier Jahre danach gibt es: „Verkohlte Landschaften“.</w:t>
      </w:r>
    </w:p>
    <w:p w14:paraId="7B22EE7A" w14:textId="59CED805" w:rsidR="00F47AF2" w:rsidRPr="000D1BAE" w:rsidRDefault="00F47AF2" w:rsidP="000D1BAE">
      <w:pPr>
        <w:pStyle w:val="Listenabsatz"/>
        <w:numPr>
          <w:ilvl w:val="0"/>
          <w:numId w:val="5"/>
        </w:numPr>
        <w:tabs>
          <w:tab w:val="left" w:pos="426"/>
        </w:tabs>
        <w:spacing w:after="160" w:line="240" w:lineRule="auto"/>
        <w:rPr>
          <w:rFonts w:eastAsiaTheme="minorHAnsi" w:cstheme="minorHAnsi"/>
          <w:sz w:val="28"/>
          <w:szCs w:val="28"/>
          <w:lang w:eastAsia="en-US"/>
        </w:rPr>
      </w:pPr>
      <w:r w:rsidRPr="000D1BAE">
        <w:rPr>
          <w:rFonts w:eastAsiaTheme="minorHAnsi" w:cstheme="minorHAnsi"/>
          <w:b/>
          <w:bCs/>
          <w:sz w:val="28"/>
          <w:szCs w:val="28"/>
          <w:lang w:eastAsia="en-US"/>
        </w:rPr>
        <w:t xml:space="preserve">15. Bundeskongress des DGB. </w:t>
      </w:r>
      <w:r w:rsidRPr="000D1BAE">
        <w:rPr>
          <w:rFonts w:eastAsiaTheme="minorHAnsi" w:cstheme="minorHAnsi"/>
          <w:sz w:val="28"/>
          <w:szCs w:val="28"/>
          <w:lang w:eastAsia="en-US"/>
        </w:rPr>
        <w:t>Festgestellt wurde, dass die Arbeit des DGB professioneller und effektiver werden müsse. Beschlossen wurden eine Verkleinerung der Gremien und Veränderungen zwischen Einzel-gewerkschaften und Dachverband. Schließlich zwang die finanzielle Lage zu gravierenden Fusionen. Sie gipfelten in der Vereinigung von fünf Einzelgewerkschaften. Der erste Schnitt in die deutsche Einheit hatte nicht zu dem gewünschten Wachstumspotential geführt. Die Zahl der Mitglieder stieg von 7.937 923 im Jahr 1990 auf 11.015 612 Mitglieder. Trotz Fusionen und anderer Maßnahmen hielt der Mitgliederschwund an. Zum ersten Mal ist der Mitgliederstand 2017/18 unter 6 Millionen gesunken.</w:t>
      </w:r>
    </w:p>
    <w:p w14:paraId="0623B2FD" w14:textId="77777777" w:rsidR="00F47AF2" w:rsidRPr="00F47AF2" w:rsidRDefault="00F47AF2" w:rsidP="00F47AF2">
      <w:pPr>
        <w:spacing w:after="160" w:line="240" w:lineRule="auto"/>
        <w:rPr>
          <w:rFonts w:eastAsiaTheme="minorHAnsi" w:cstheme="minorHAnsi"/>
          <w:sz w:val="28"/>
          <w:szCs w:val="28"/>
          <w:lang w:eastAsia="en-US"/>
        </w:rPr>
      </w:pPr>
    </w:p>
    <w:p w14:paraId="22964058" w14:textId="77777777" w:rsidR="00F47AF2" w:rsidRPr="00F47AF2" w:rsidRDefault="00F47AF2" w:rsidP="00F47AF2">
      <w:pPr>
        <w:spacing w:after="160" w:line="240" w:lineRule="auto"/>
        <w:rPr>
          <w:rFonts w:eastAsiaTheme="minorHAnsi" w:cstheme="minorHAnsi"/>
          <w:sz w:val="28"/>
          <w:szCs w:val="28"/>
          <w:lang w:eastAsia="en-US"/>
        </w:rPr>
      </w:pPr>
    </w:p>
    <w:p w14:paraId="792F3ECA" w14:textId="77777777" w:rsidR="00F47AF2" w:rsidRPr="00F47AF2" w:rsidRDefault="00F47AF2" w:rsidP="00F47AF2">
      <w:pPr>
        <w:spacing w:after="160" w:line="240" w:lineRule="auto"/>
        <w:rPr>
          <w:rFonts w:eastAsiaTheme="minorHAnsi" w:cstheme="minorHAnsi"/>
          <w:sz w:val="28"/>
          <w:szCs w:val="28"/>
          <w:lang w:eastAsia="en-US"/>
        </w:rPr>
      </w:pPr>
    </w:p>
    <w:p w14:paraId="2488CEE2" w14:textId="77777777" w:rsidR="00F47AF2" w:rsidRPr="00F47AF2" w:rsidRDefault="00F47AF2" w:rsidP="00F47AF2">
      <w:pPr>
        <w:spacing w:after="160" w:line="240" w:lineRule="auto"/>
        <w:rPr>
          <w:rFonts w:eastAsiaTheme="minorHAnsi" w:cstheme="minorHAnsi"/>
          <w:sz w:val="28"/>
          <w:szCs w:val="28"/>
          <w:lang w:eastAsia="en-US"/>
        </w:rPr>
      </w:pPr>
    </w:p>
    <w:p w14:paraId="1AACCF00" w14:textId="3BB037CD" w:rsidR="00F47AF2" w:rsidRDefault="00F47AF2"/>
    <w:p w14:paraId="72598D9C" w14:textId="709A8737" w:rsidR="004F30D2" w:rsidRDefault="004F30D2"/>
    <w:p w14:paraId="73423865" w14:textId="4E7A7ECA" w:rsidR="004F30D2" w:rsidRDefault="004F30D2"/>
    <w:p w14:paraId="4C5EEE36" w14:textId="70E57DDB" w:rsidR="004F30D2" w:rsidRDefault="004F30D2"/>
    <w:p w14:paraId="2F1A3E82" w14:textId="1CDCD61F" w:rsidR="004F30D2" w:rsidRDefault="004F30D2"/>
    <w:p w14:paraId="5F0F3562" w14:textId="657FCD70" w:rsidR="004F30D2" w:rsidRDefault="004F30D2"/>
    <w:p w14:paraId="72F91D8C" w14:textId="59EF7839" w:rsidR="004F30D2" w:rsidRDefault="004F30D2"/>
    <w:p w14:paraId="52E3FFFE" w14:textId="0FE09296" w:rsidR="004F30D2" w:rsidRDefault="004F30D2"/>
    <w:p w14:paraId="3D6B9850" w14:textId="77777777" w:rsidR="004F30D2" w:rsidRPr="004F30D2" w:rsidRDefault="004F30D2" w:rsidP="004F30D2">
      <w:pPr>
        <w:spacing w:line="240" w:lineRule="auto"/>
        <w:rPr>
          <w:rFonts w:eastAsiaTheme="minorHAnsi" w:cstheme="minorHAnsi"/>
          <w:b/>
          <w:sz w:val="32"/>
          <w:szCs w:val="32"/>
          <w:lang w:eastAsia="en-US"/>
        </w:rPr>
      </w:pPr>
      <w:r w:rsidRPr="004F30D2">
        <w:rPr>
          <w:rFonts w:eastAsiaTheme="minorHAnsi" w:cstheme="minorHAnsi"/>
          <w:b/>
          <w:sz w:val="32"/>
          <w:szCs w:val="32"/>
          <w:lang w:eastAsia="en-US"/>
        </w:rPr>
        <w:lastRenderedPageBreak/>
        <w:t>Angaben zu den Verfassern, Beratern und Quellen</w:t>
      </w:r>
    </w:p>
    <w:p w14:paraId="63BEF905"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Zur Ausarbeitung „Ein Aufruf zur Bildung eines freien deutschen Gewerk-</w:t>
      </w:r>
      <w:proofErr w:type="spellStart"/>
      <w:r w:rsidRPr="004F30D2">
        <w:rPr>
          <w:rFonts w:eastAsiaTheme="minorHAnsi" w:cstheme="minorHAnsi"/>
          <w:sz w:val="28"/>
          <w:szCs w:val="28"/>
          <w:lang w:eastAsia="en-US"/>
        </w:rPr>
        <w:t>schaftsbundes</w:t>
      </w:r>
      <w:proofErr w:type="spellEnd"/>
      <w:r w:rsidRPr="004F30D2">
        <w:rPr>
          <w:rFonts w:eastAsiaTheme="minorHAnsi" w:cstheme="minorHAnsi"/>
          <w:sz w:val="28"/>
          <w:szCs w:val="28"/>
          <w:lang w:eastAsia="en-US"/>
        </w:rPr>
        <w:t xml:space="preserve"> im Juni 1945 und eine notwendige Nachlese über die Zeit danach“ haben die Mitglieder des Vereins „Freie Deutsche            Gewerkschaften e. V.“ mit Ihren persönlichen Erfahrungen beigetragen. Hervorzuheben sind dabei besonders die Aus- und Zuarbeiten und beratenden Hinweise der Kolleginnen und Kollegen</w:t>
      </w:r>
    </w:p>
    <w:p w14:paraId="30642B5B"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 xml:space="preserve">Hans Bauer; Prof. Heinz Deutschland; Annelis Kimmel; Werner Koch; Hans-Joachim Krusch; Klaus </w:t>
      </w:r>
      <w:proofErr w:type="spellStart"/>
      <w:r w:rsidRPr="004F30D2">
        <w:rPr>
          <w:rFonts w:eastAsiaTheme="minorHAnsi" w:cstheme="minorHAnsi"/>
          <w:sz w:val="28"/>
          <w:szCs w:val="28"/>
          <w:lang w:eastAsia="en-US"/>
        </w:rPr>
        <w:t>Mehlan</w:t>
      </w:r>
      <w:proofErr w:type="spellEnd"/>
      <w:r w:rsidRPr="004F30D2">
        <w:rPr>
          <w:rFonts w:eastAsiaTheme="minorHAnsi" w:cstheme="minorHAnsi"/>
          <w:sz w:val="28"/>
          <w:szCs w:val="28"/>
          <w:lang w:eastAsia="en-US"/>
        </w:rPr>
        <w:t xml:space="preserve">; Gerhard Nennstiel; Werner Ruch und </w:t>
      </w:r>
      <w:proofErr w:type="spellStart"/>
      <w:r w:rsidRPr="004F30D2">
        <w:rPr>
          <w:rFonts w:eastAsiaTheme="minorHAnsi" w:cstheme="minorHAnsi"/>
          <w:sz w:val="28"/>
          <w:szCs w:val="28"/>
          <w:lang w:eastAsia="en-US"/>
        </w:rPr>
        <w:t>Margitte</w:t>
      </w:r>
      <w:proofErr w:type="spellEnd"/>
      <w:r w:rsidRPr="004F30D2">
        <w:rPr>
          <w:rFonts w:eastAsiaTheme="minorHAnsi" w:cstheme="minorHAnsi"/>
          <w:sz w:val="28"/>
          <w:szCs w:val="28"/>
          <w:lang w:eastAsia="en-US"/>
        </w:rPr>
        <w:t xml:space="preserve"> Thiel.</w:t>
      </w:r>
    </w:p>
    <w:p w14:paraId="0DE0032D"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Verfasser der Anlagen 1, 2a, 2b und 2c ist Kollege Werner Koch</w:t>
      </w:r>
    </w:p>
    <w:p w14:paraId="65E682E7" w14:textId="0CFCA882"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 xml:space="preserve">Verfasser der Anlage 3 ist </w:t>
      </w:r>
      <w:r>
        <w:rPr>
          <w:rFonts w:eastAsiaTheme="minorHAnsi" w:cstheme="minorHAnsi"/>
          <w:sz w:val="28"/>
          <w:szCs w:val="28"/>
          <w:lang w:eastAsia="en-US"/>
        </w:rPr>
        <w:t xml:space="preserve">Kollege </w:t>
      </w:r>
      <w:r w:rsidRPr="004F30D2">
        <w:rPr>
          <w:rFonts w:eastAsiaTheme="minorHAnsi" w:cstheme="minorHAnsi"/>
          <w:sz w:val="28"/>
          <w:szCs w:val="28"/>
          <w:lang w:eastAsia="en-US"/>
        </w:rPr>
        <w:t>Werner Ruch</w:t>
      </w:r>
    </w:p>
    <w:p w14:paraId="5738C28A"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Als Quellen wurden genutzt:</w:t>
      </w:r>
    </w:p>
    <w:p w14:paraId="378C142E"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Veröffentlichungen des „Vereins Freie Deutsche Gewerkschaften e.V.“ aus der Populärwissenschaftlichen Schriftenreihe Zeitgenössische Standpunkte-Historische Dokumente</w:t>
      </w:r>
    </w:p>
    <w:p w14:paraId="13EEFFB5"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Protokoll des 11. FDGB-Kongresses vom 22. bis 25. April 1987 in Berlin</w:t>
      </w:r>
    </w:p>
    <w:p w14:paraId="52D471CF"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Buch „Banken Brot und Bomben“ Band 2, Autor Stefan Erdmann                     ISBN 3-9807106-0-2</w:t>
      </w:r>
    </w:p>
    <w:p w14:paraId="3B1EEEBC" w14:textId="31092C60"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Buch „Die Entstehung der sozialen Marktwirtschaft 1948/49“</w:t>
      </w:r>
      <w:r>
        <w:rPr>
          <w:rFonts w:eastAsiaTheme="minorHAnsi" w:cstheme="minorHAnsi"/>
          <w:sz w:val="28"/>
          <w:szCs w:val="28"/>
          <w:lang w:eastAsia="en-US"/>
        </w:rPr>
        <w:t xml:space="preserve">    </w:t>
      </w:r>
      <w:r w:rsidRPr="004F30D2">
        <w:rPr>
          <w:rFonts w:eastAsiaTheme="minorHAnsi" w:cstheme="minorHAnsi"/>
          <w:sz w:val="28"/>
          <w:szCs w:val="28"/>
          <w:lang w:eastAsia="en-US"/>
        </w:rPr>
        <w:t xml:space="preserve">                     Autor Uwe Fuhrmann                                                                                                                       ISBN 987-3-86764-665-9 (Print)</w:t>
      </w:r>
    </w:p>
    <w:p w14:paraId="2CB988A7"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Für die Ausarbeitung wurden auch Informationen weiterer Veröffentlichungen verarbeitet, ohne deren Inhalt zu kopieren.</w:t>
      </w:r>
    </w:p>
    <w:p w14:paraId="64BC26CA" w14:textId="77777777" w:rsidR="004F30D2" w:rsidRPr="004F30D2" w:rsidRDefault="004F30D2" w:rsidP="004F30D2">
      <w:pPr>
        <w:spacing w:line="240" w:lineRule="auto"/>
        <w:rPr>
          <w:rFonts w:eastAsiaTheme="minorHAnsi" w:cstheme="minorHAnsi"/>
          <w:sz w:val="28"/>
          <w:szCs w:val="28"/>
          <w:lang w:eastAsia="en-US"/>
        </w:rPr>
      </w:pPr>
      <w:r w:rsidRPr="004F30D2">
        <w:rPr>
          <w:rFonts w:eastAsiaTheme="minorHAnsi" w:cstheme="minorHAnsi"/>
          <w:sz w:val="28"/>
          <w:szCs w:val="28"/>
          <w:lang w:eastAsia="en-US"/>
        </w:rPr>
        <w:t>Allen, die mit Ihren Ausarbeitungen, beratenden Hinweisen und eigenständigen Leistungen zum Gelingen unseres Vorhabens beigetragen haben, sagen wir auf diesem Weg unseren Dank.</w:t>
      </w:r>
    </w:p>
    <w:p w14:paraId="2128EF19" w14:textId="77777777" w:rsidR="004F30D2" w:rsidRPr="004F30D2" w:rsidRDefault="004F30D2" w:rsidP="004F30D2">
      <w:pPr>
        <w:spacing w:line="240" w:lineRule="auto"/>
        <w:rPr>
          <w:rFonts w:eastAsiaTheme="minorHAnsi" w:cstheme="minorHAnsi"/>
          <w:i/>
          <w:iCs/>
          <w:sz w:val="28"/>
          <w:szCs w:val="28"/>
          <w:lang w:eastAsia="en-US"/>
        </w:rPr>
      </w:pPr>
      <w:r w:rsidRPr="004F30D2">
        <w:rPr>
          <w:rFonts w:eastAsiaTheme="minorHAnsi" w:cstheme="minorHAnsi"/>
          <w:i/>
          <w:iCs/>
          <w:sz w:val="28"/>
          <w:szCs w:val="28"/>
          <w:lang w:eastAsia="en-US"/>
        </w:rPr>
        <w:t>Vorstand des Vereins „Freie Deutsche Gewerkschaften e.V.“</w:t>
      </w:r>
    </w:p>
    <w:p w14:paraId="3A695225" w14:textId="77777777" w:rsidR="004F30D2" w:rsidRPr="004F30D2" w:rsidRDefault="004F30D2" w:rsidP="004F30D2">
      <w:pPr>
        <w:spacing w:line="240" w:lineRule="auto"/>
        <w:rPr>
          <w:rFonts w:eastAsiaTheme="minorHAnsi" w:cstheme="minorHAnsi"/>
          <w:sz w:val="28"/>
          <w:szCs w:val="28"/>
          <w:lang w:eastAsia="en-US"/>
        </w:rPr>
      </w:pPr>
    </w:p>
    <w:p w14:paraId="356439C4" w14:textId="6108F3A9" w:rsidR="004F30D2" w:rsidRDefault="004F30D2"/>
    <w:p w14:paraId="2F7883F8" w14:textId="77777777" w:rsidR="004F30D2" w:rsidRDefault="004F30D2"/>
    <w:sectPr w:rsidR="004F30D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EC9D7" w14:textId="77777777" w:rsidR="00B20D5F" w:rsidRDefault="00B20D5F" w:rsidP="00F47AF2">
      <w:pPr>
        <w:spacing w:after="0" w:line="240" w:lineRule="auto"/>
      </w:pPr>
      <w:r>
        <w:separator/>
      </w:r>
    </w:p>
  </w:endnote>
  <w:endnote w:type="continuationSeparator" w:id="0">
    <w:p w14:paraId="3F16B851" w14:textId="77777777" w:rsidR="00B20D5F" w:rsidRDefault="00B20D5F" w:rsidP="00F4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DCCA" w14:textId="77777777" w:rsidR="00F47AF2" w:rsidRDefault="00F47A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21664"/>
      <w:docPartObj>
        <w:docPartGallery w:val="Page Numbers (Bottom of Page)"/>
        <w:docPartUnique/>
      </w:docPartObj>
    </w:sdtPr>
    <w:sdtEndPr/>
    <w:sdtContent>
      <w:p w14:paraId="3D847B7E" w14:textId="09BB87C8" w:rsidR="00F47AF2" w:rsidRDefault="00F47AF2">
        <w:pPr>
          <w:pStyle w:val="Fuzeile"/>
          <w:jc w:val="center"/>
        </w:pPr>
        <w:r>
          <w:fldChar w:fldCharType="begin"/>
        </w:r>
        <w:r>
          <w:instrText>PAGE   \* MERGEFORMAT</w:instrText>
        </w:r>
        <w:r>
          <w:fldChar w:fldCharType="separate"/>
        </w:r>
        <w:r>
          <w:t>2</w:t>
        </w:r>
        <w:r>
          <w:fldChar w:fldCharType="end"/>
        </w:r>
      </w:p>
    </w:sdtContent>
  </w:sdt>
  <w:p w14:paraId="6ED2CD5A" w14:textId="77777777" w:rsidR="00F47AF2" w:rsidRDefault="00F47A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B4B7" w14:textId="77777777" w:rsidR="00F47AF2" w:rsidRDefault="00F47A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CE60" w14:textId="77777777" w:rsidR="00B20D5F" w:rsidRDefault="00B20D5F" w:rsidP="00F47AF2">
      <w:pPr>
        <w:spacing w:after="0" w:line="240" w:lineRule="auto"/>
      </w:pPr>
      <w:r>
        <w:separator/>
      </w:r>
    </w:p>
  </w:footnote>
  <w:footnote w:type="continuationSeparator" w:id="0">
    <w:p w14:paraId="200F213E" w14:textId="77777777" w:rsidR="00B20D5F" w:rsidRDefault="00B20D5F" w:rsidP="00F4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D4C2" w14:textId="77777777" w:rsidR="00F47AF2" w:rsidRDefault="00F47A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54FE" w14:textId="77777777" w:rsidR="00F47AF2" w:rsidRDefault="00F47AF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6FAD" w14:textId="77777777" w:rsidR="00F47AF2" w:rsidRDefault="00F47AF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A667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A6761D"/>
    <w:multiLevelType w:val="hybridMultilevel"/>
    <w:tmpl w:val="04EC0F36"/>
    <w:lvl w:ilvl="0" w:tplc="B5BA39E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C2D4B22"/>
    <w:multiLevelType w:val="hybridMultilevel"/>
    <w:tmpl w:val="1248C5DA"/>
    <w:lvl w:ilvl="0" w:tplc="B5BA39E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2A35C0"/>
    <w:multiLevelType w:val="hybridMultilevel"/>
    <w:tmpl w:val="17E0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53845CE"/>
    <w:multiLevelType w:val="hybridMultilevel"/>
    <w:tmpl w:val="49CEC2DA"/>
    <w:lvl w:ilvl="0" w:tplc="FFFFFFFF">
      <w:numFmt w:val="bullet"/>
      <w:lvlText w:val="-"/>
      <w:lvlJc w:val="left"/>
      <w:pPr>
        <w:ind w:left="720" w:hanging="360"/>
      </w:pPr>
      <w:rPr>
        <w:rFonts w:ascii="Arial" w:eastAsia="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FBD"/>
    <w:rsid w:val="000D1BAE"/>
    <w:rsid w:val="002066D9"/>
    <w:rsid w:val="002F032A"/>
    <w:rsid w:val="0042624A"/>
    <w:rsid w:val="004F30D2"/>
    <w:rsid w:val="007F56B0"/>
    <w:rsid w:val="00B20D5F"/>
    <w:rsid w:val="00B54FBD"/>
    <w:rsid w:val="00BF0E9E"/>
    <w:rsid w:val="00F47A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906E"/>
  <w15:chartTrackingRefBased/>
  <w15:docId w15:val="{F41332D6-C3F5-4768-AA34-152D0FAF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4FBD"/>
    <w:pPr>
      <w:spacing w:after="200" w:line="276" w:lineRule="auto"/>
    </w:pPr>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4FBD"/>
    <w:pPr>
      <w:ind w:left="720"/>
      <w:contextualSpacing/>
    </w:pPr>
  </w:style>
  <w:style w:type="paragraph" w:styleId="Kopfzeile">
    <w:name w:val="header"/>
    <w:basedOn w:val="Standard"/>
    <w:link w:val="KopfzeileZchn"/>
    <w:uiPriority w:val="99"/>
    <w:unhideWhenUsed/>
    <w:rsid w:val="00F47A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7AF2"/>
    <w:rPr>
      <w:rFonts w:eastAsiaTheme="minorEastAsia"/>
      <w:lang w:eastAsia="de-DE"/>
    </w:rPr>
  </w:style>
  <w:style w:type="paragraph" w:styleId="Fuzeile">
    <w:name w:val="footer"/>
    <w:basedOn w:val="Standard"/>
    <w:link w:val="FuzeileZchn"/>
    <w:uiPriority w:val="99"/>
    <w:unhideWhenUsed/>
    <w:rsid w:val="00F47A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7AF2"/>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5490</Words>
  <Characters>34588</Characters>
  <Application>Microsoft Office Word</Application>
  <DocSecurity>0</DocSecurity>
  <Lines>288</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Hans-Joachim Krusch</dc:creator>
  <cp:keywords/>
  <dc:description/>
  <cp:lastModifiedBy>Hans-Joachim Krusch</cp:lastModifiedBy>
  <cp:revision>5</cp:revision>
  <dcterms:created xsi:type="dcterms:W3CDTF">2021-07-28T14:53:00Z</dcterms:created>
  <dcterms:modified xsi:type="dcterms:W3CDTF">2021-08-12T16:43:00Z</dcterms:modified>
</cp:coreProperties>
</file>